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147424AA" w:rsidR="006A708A" w:rsidRPr="00157460" w:rsidRDefault="00EA7109"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February 16, 2022</w:t>
      </w:r>
      <w:r w:rsidR="008B7202">
        <w:rPr>
          <w:rFonts w:asciiTheme="minorHAnsi" w:hAnsiTheme="minorHAnsi" w:cstheme="minorHAnsi"/>
          <w:b/>
          <w:color w:val="000000" w:themeColor="text1"/>
        </w:rPr>
        <w:t xml:space="preserve">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5F1C41B8"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8B7202">
        <w:rPr>
          <w:rFonts w:asciiTheme="minorHAnsi" w:hAnsiTheme="minorHAnsi" w:cstheme="minorHAnsi"/>
          <w:color w:val="000000" w:themeColor="text1"/>
          <w:sz w:val="22"/>
          <w:szCs w:val="22"/>
        </w:rPr>
        <w:t xml:space="preserve">, </w:t>
      </w:r>
      <w:proofErr w:type="spellStart"/>
      <w:r w:rsidR="00DE4EA3">
        <w:rPr>
          <w:rFonts w:asciiTheme="minorHAnsi" w:hAnsiTheme="minorHAnsi" w:cstheme="minorHAnsi"/>
          <w:color w:val="000000" w:themeColor="text1"/>
          <w:sz w:val="22"/>
          <w:szCs w:val="22"/>
        </w:rPr>
        <w:t>Altmiller</w:t>
      </w:r>
      <w:proofErr w:type="spellEnd"/>
      <w:r w:rsidR="00DE4EA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Baker, Bender, Bennett,</w:t>
      </w:r>
      <w:r w:rsidR="008B7BC6">
        <w:rPr>
          <w:rFonts w:asciiTheme="minorHAnsi" w:hAnsiTheme="minorHAnsi" w:cstheme="minorHAnsi"/>
          <w:color w:val="000000" w:themeColor="text1"/>
          <w:sz w:val="22"/>
          <w:szCs w:val="22"/>
        </w:rPr>
        <w:t xml:space="preserve"> Borders,</w:t>
      </w:r>
      <w:r w:rsidR="009C0931">
        <w:rPr>
          <w:rFonts w:asciiTheme="minorHAnsi" w:hAnsiTheme="minorHAnsi" w:cstheme="minorHAnsi"/>
          <w:color w:val="000000" w:themeColor="text1"/>
          <w:sz w:val="22"/>
          <w:szCs w:val="22"/>
        </w:rPr>
        <w:t xml:space="preserve"> Burroughs, Bush, </w:t>
      </w:r>
      <w:proofErr w:type="spellStart"/>
      <w:r w:rsidR="007E7FD3">
        <w:rPr>
          <w:rFonts w:asciiTheme="minorHAnsi" w:hAnsiTheme="minorHAnsi" w:cstheme="minorHAnsi"/>
          <w:color w:val="000000" w:themeColor="text1"/>
          <w:sz w:val="22"/>
          <w:szCs w:val="22"/>
        </w:rPr>
        <w:t>Bwire</w:t>
      </w:r>
      <w:proofErr w:type="spellEnd"/>
      <w:r w:rsidR="007E7FD3">
        <w:rPr>
          <w:rFonts w:asciiTheme="minorHAnsi" w:hAnsiTheme="minorHAnsi" w:cstheme="minorHAnsi"/>
          <w:color w:val="000000" w:themeColor="text1"/>
          <w:sz w:val="22"/>
          <w:szCs w:val="22"/>
        </w:rPr>
        <w:t xml:space="preserve">, </w:t>
      </w:r>
      <w:proofErr w:type="spellStart"/>
      <w:r w:rsidR="007E7FD3">
        <w:rPr>
          <w:rFonts w:asciiTheme="minorHAnsi" w:hAnsiTheme="minorHAnsi" w:cstheme="minorHAnsi"/>
          <w:color w:val="000000" w:themeColor="text1"/>
          <w:sz w:val="22"/>
          <w:szCs w:val="22"/>
        </w:rPr>
        <w:t>Capece</w:t>
      </w:r>
      <w:proofErr w:type="spellEnd"/>
      <w:r w:rsidR="007E7FD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Knox,</w:t>
      </w:r>
      <w:r w:rsidR="007E7FD3">
        <w:rPr>
          <w:rFonts w:asciiTheme="minorHAnsi" w:hAnsiTheme="minorHAnsi" w:cstheme="minorHAnsi"/>
          <w:color w:val="000000" w:themeColor="text1"/>
          <w:sz w:val="22"/>
          <w:szCs w:val="22"/>
        </w:rPr>
        <w:t xml:space="preserve"> Lawrence,</w:t>
      </w:r>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Lopes-</w:t>
      </w:r>
      <w:proofErr w:type="gramStart"/>
      <w:r w:rsidR="00AC5F1D" w:rsidRPr="00AC5F1D">
        <w:rPr>
          <w:rFonts w:asciiTheme="minorHAnsi" w:hAnsiTheme="minorHAnsi" w:cstheme="minorHAnsi"/>
          <w:sz w:val="22"/>
          <w:szCs w:val="22"/>
        </w:rPr>
        <w:t>Murphy,</w:t>
      </w:r>
      <w:r w:rsidR="007E7FD3">
        <w:rPr>
          <w:rFonts w:asciiTheme="minorHAnsi" w:hAnsiTheme="minorHAnsi" w:cstheme="minorHAnsi"/>
          <w:sz w:val="22"/>
          <w:szCs w:val="22"/>
        </w:rPr>
        <w:t xml:space="preserve"> </w:t>
      </w:r>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Meixner</w:t>
      </w:r>
      <w:proofErr w:type="spellEnd"/>
      <w:proofErr w:type="gramEnd"/>
      <w:r w:rsidR="009C0931">
        <w:rPr>
          <w:rFonts w:asciiTheme="minorHAnsi" w:hAnsiTheme="minorHAnsi" w:cstheme="minorHAnsi"/>
          <w:color w:val="000000" w:themeColor="text1"/>
          <w:sz w:val="22"/>
          <w:szCs w:val="22"/>
        </w:rPr>
        <w:t xml:space="preserve">, O’Connor, 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Steele, </w:t>
      </w:r>
      <w:r w:rsidR="007E7FD3">
        <w:rPr>
          <w:rFonts w:asciiTheme="minorHAnsi" w:hAnsiTheme="minorHAnsi" w:cstheme="minorHAnsi"/>
          <w:color w:val="000000" w:themeColor="text1"/>
          <w:sz w:val="22"/>
          <w:szCs w:val="22"/>
        </w:rPr>
        <w:t xml:space="preserve">Steinberg,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Warner-Ault</w:t>
      </w:r>
      <w:r w:rsidR="00AC5F1D">
        <w:rPr>
          <w:rFonts w:asciiTheme="minorHAnsi" w:hAnsiTheme="minorHAnsi" w:cstheme="minorHAnsi"/>
          <w:color w:val="000000" w:themeColor="text1"/>
          <w:sz w:val="22"/>
          <w:szCs w:val="22"/>
        </w:rPr>
        <w:t xml:space="preserve">, </w:t>
      </w:r>
      <w:r w:rsidR="008B7BC6">
        <w:rPr>
          <w:rFonts w:asciiTheme="minorHAnsi" w:hAnsiTheme="minorHAnsi" w:cstheme="minorHAnsi"/>
          <w:color w:val="000000" w:themeColor="text1"/>
          <w:sz w:val="22"/>
          <w:szCs w:val="22"/>
        </w:rPr>
        <w:t xml:space="preserve">Wei,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7D007F48" w14:textId="3780B7A3" w:rsidR="008B7BC6" w:rsidRPr="008B7BC6" w:rsidRDefault="008B7BC6"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r w:rsidR="007E7FD3">
        <w:rPr>
          <w:rFonts w:asciiTheme="minorHAnsi" w:hAnsiTheme="minorHAnsi" w:cstheme="minorHAnsi"/>
          <w:color w:val="000000" w:themeColor="text1"/>
          <w:sz w:val="22"/>
          <w:szCs w:val="22"/>
        </w:rPr>
        <w:t>Lasher, McBride.</w:t>
      </w:r>
    </w:p>
    <w:p w14:paraId="0635F15D" w14:textId="77398A14" w:rsidR="00F75E3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bookmarkStart w:id="0" w:name="_GoBack"/>
      <w:bookmarkEnd w:id="0"/>
      <w:r w:rsidR="007E7FD3">
        <w:rPr>
          <w:rFonts w:asciiTheme="minorHAnsi" w:hAnsiTheme="minorHAnsi" w:cstheme="minorHAnsi"/>
          <w:color w:val="000000" w:themeColor="text1"/>
          <w:sz w:val="22"/>
          <w:szCs w:val="22"/>
        </w:rPr>
        <w:t>Singer.</w:t>
      </w:r>
    </w:p>
    <w:p w14:paraId="0A989E9C" w14:textId="77777777" w:rsidR="00EB171A" w:rsidRPr="009A5484" w:rsidRDefault="00EB171A" w:rsidP="009A5484">
      <w:pPr>
        <w:rPr>
          <w:rFonts w:asciiTheme="minorHAnsi" w:hAnsiTheme="minorHAnsi" w:cstheme="minorHAnsi"/>
          <w:b/>
          <w:color w:val="000000" w:themeColor="text1"/>
          <w:sz w:val="22"/>
          <w:szCs w:val="22"/>
        </w:rPr>
      </w:pP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09518EF6" w:rsidR="00F75E33" w:rsidRPr="00F75E33" w:rsidRDefault="00AD6615"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Approval of Minutes</w:t>
      </w:r>
    </w:p>
    <w:p w14:paraId="2764986F" w14:textId="6338B70C" w:rsidR="002A6B14" w:rsidRDefault="00AD6615"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3, 2021 - minutes approved with a small correction to the Trustees report.</w:t>
      </w:r>
    </w:p>
    <w:p w14:paraId="11D34578" w14:textId="7D231DF3" w:rsidR="00AD6615" w:rsidRPr="004F7E0B" w:rsidRDefault="00AD6615"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December 1, 2021 – minutes approved as submitted.</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65EC8B2D" w:rsidR="000A3775" w:rsidRPr="00E00D28" w:rsidRDefault="00AD6615"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Announcements</w:t>
      </w:r>
    </w:p>
    <w:p w14:paraId="198E51B9" w14:textId="15EC0409" w:rsidR="002A6B14" w:rsidRPr="00AD6615" w:rsidRDefault="00AD6615" w:rsidP="002A6B14">
      <w:pPr>
        <w:pStyle w:val="ListParagraph"/>
        <w:numPr>
          <w:ilvl w:val="0"/>
          <w:numId w:val="39"/>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Mindi McMann has been replaced by Melissa </w:t>
      </w:r>
      <w:proofErr w:type="spellStart"/>
      <w:r>
        <w:rPr>
          <w:rFonts w:asciiTheme="minorHAnsi" w:hAnsiTheme="minorHAnsi" w:cstheme="minorHAnsi"/>
          <w:color w:val="000000" w:themeColor="text1"/>
          <w:sz w:val="22"/>
          <w:szCs w:val="22"/>
        </w:rPr>
        <w:t>Zrada</w:t>
      </w:r>
      <w:proofErr w:type="spellEnd"/>
      <w:r>
        <w:rPr>
          <w:rFonts w:asciiTheme="minorHAnsi" w:hAnsiTheme="minorHAnsi" w:cstheme="minorHAnsi"/>
          <w:color w:val="000000" w:themeColor="text1"/>
          <w:sz w:val="22"/>
          <w:szCs w:val="22"/>
        </w:rPr>
        <w:t xml:space="preserve"> on SEB.</w:t>
      </w:r>
    </w:p>
    <w:p w14:paraId="1A6379A1" w14:textId="7A42552A" w:rsidR="00AD6615" w:rsidRDefault="00AD6615"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Felicia Steele put a link to the Global Engagement survey in the Zoom chat. They are collecting information to promote and facilitate global engagement.</w:t>
      </w:r>
    </w:p>
    <w:p w14:paraId="3C69007D" w14:textId="75D00F52" w:rsidR="00AD6615" w:rsidRPr="002A6B14" w:rsidRDefault="00AD6615"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Call for applications for the 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Award and Faculty Senate Colloquium speakers. The official call will go out to the campus later this week. We could also use a few more volunteers to serve on these committees. For the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Award Committee, we need representatives from Business, Engineering, and NHES.</w:t>
      </w:r>
    </w:p>
    <w:p w14:paraId="7B8A63E2" w14:textId="77777777" w:rsidR="002A6B14" w:rsidRPr="002A6B14" w:rsidRDefault="002A6B14" w:rsidP="00B12F96">
      <w:pPr>
        <w:rPr>
          <w:rFonts w:asciiTheme="minorHAnsi" w:hAnsiTheme="minorHAnsi" w:cstheme="minorHAnsi"/>
          <w:b/>
          <w:sz w:val="22"/>
          <w:szCs w:val="22"/>
        </w:rPr>
      </w:pPr>
    </w:p>
    <w:p w14:paraId="37883982" w14:textId="51969D5D" w:rsidR="00B12F96" w:rsidRPr="002A6B14" w:rsidRDefault="00AD6615" w:rsidP="00B12F96">
      <w:pPr>
        <w:rPr>
          <w:rFonts w:asciiTheme="minorHAnsi" w:hAnsiTheme="minorHAnsi" w:cstheme="minorHAnsi"/>
          <w:b/>
          <w:sz w:val="22"/>
          <w:szCs w:val="22"/>
        </w:rPr>
      </w:pPr>
      <w:r>
        <w:rPr>
          <w:rFonts w:asciiTheme="minorHAnsi" w:hAnsiTheme="minorHAnsi" w:cstheme="minorHAnsi"/>
          <w:b/>
          <w:sz w:val="22"/>
          <w:szCs w:val="22"/>
        </w:rPr>
        <w:t>Call for Volunteers: Ad Hoc Committee to Develop a DEI Statement for Co</w:t>
      </w:r>
      <w:r w:rsidR="005C5FBC">
        <w:rPr>
          <w:rFonts w:asciiTheme="minorHAnsi" w:hAnsiTheme="minorHAnsi" w:cstheme="minorHAnsi"/>
          <w:b/>
          <w:sz w:val="22"/>
          <w:szCs w:val="22"/>
        </w:rPr>
        <w:t>urs</w:t>
      </w:r>
      <w:r>
        <w:rPr>
          <w:rFonts w:asciiTheme="minorHAnsi" w:hAnsiTheme="minorHAnsi" w:cstheme="minorHAnsi"/>
          <w:b/>
          <w:sz w:val="22"/>
          <w:szCs w:val="22"/>
        </w:rPr>
        <w:t>e Syllabi</w:t>
      </w:r>
    </w:p>
    <w:p w14:paraId="6BA7B282" w14:textId="78D44AC0" w:rsidR="00AD6615" w:rsidRDefault="005C5FBC" w:rsidP="00AD661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syllabus template needs to be updated to include diversity, equity, and inclusivity language.</w:t>
      </w:r>
    </w:p>
    <w:p w14:paraId="4E031E9E" w14:textId="67B8762B" w:rsidR="000D1892" w:rsidRPr="005C5FBC" w:rsidRDefault="005C5FBC" w:rsidP="005C5FB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We need a couple of volunteers to help with the syllabus statement. Also, if you have already incorporated this language into your syllabus, it would be appreciated if you could share it. Please email Matt or Abby O’Connor to either volunteer or share language.</w:t>
      </w:r>
    </w:p>
    <w:p w14:paraId="276D97E0" w14:textId="4B1B7756" w:rsidR="000D1892" w:rsidRDefault="000D1892" w:rsidP="000D1892">
      <w:pPr>
        <w:rPr>
          <w:rFonts w:asciiTheme="minorHAnsi" w:hAnsiTheme="minorHAnsi" w:cstheme="minorHAnsi"/>
          <w:sz w:val="22"/>
          <w:szCs w:val="22"/>
        </w:rPr>
      </w:pPr>
    </w:p>
    <w:p w14:paraId="77BE00C5" w14:textId="692BFFE9" w:rsidR="000D1892" w:rsidRPr="00287FC4" w:rsidRDefault="00AD6615" w:rsidP="000D1892">
      <w:pPr>
        <w:rPr>
          <w:rFonts w:asciiTheme="minorHAnsi" w:hAnsiTheme="minorHAnsi" w:cstheme="minorHAnsi"/>
          <w:b/>
          <w:sz w:val="22"/>
          <w:szCs w:val="22"/>
        </w:rPr>
      </w:pPr>
      <w:r>
        <w:rPr>
          <w:rFonts w:asciiTheme="minorHAnsi" w:hAnsiTheme="minorHAnsi" w:cstheme="minorHAnsi"/>
          <w:b/>
          <w:sz w:val="22"/>
          <w:szCs w:val="22"/>
        </w:rPr>
        <w:t>Gatekeeper Training, Dr. Mark Forest, AVP for Health and Wellness</w:t>
      </w:r>
    </w:p>
    <w:p w14:paraId="4B0EAE22" w14:textId="076FD1F5" w:rsidR="00ED2537" w:rsidRPr="005C5FBC" w:rsidRDefault="005C5FBC" w:rsidP="00AD6615">
      <w:pPr>
        <w:pStyle w:val="ListParagraph"/>
        <w:numPr>
          <w:ilvl w:val="0"/>
          <w:numId w:val="49"/>
        </w:numPr>
        <w:rPr>
          <w:rFonts w:asciiTheme="minorHAnsi" w:hAnsiTheme="minorHAnsi" w:cstheme="minorHAnsi"/>
          <w:b/>
          <w:color w:val="000000" w:themeColor="text1"/>
          <w:sz w:val="22"/>
          <w:szCs w:val="22"/>
        </w:rPr>
      </w:pPr>
      <w:r>
        <w:rPr>
          <w:rFonts w:asciiTheme="minorHAnsi" w:hAnsiTheme="minorHAnsi" w:cstheme="minorHAnsi"/>
          <w:sz w:val="22"/>
          <w:szCs w:val="22"/>
        </w:rPr>
        <w:t>Mark discussed mental health issues in college students and reviewed a</w:t>
      </w:r>
      <w:r w:rsidR="009648C6">
        <w:rPr>
          <w:rFonts w:asciiTheme="minorHAnsi" w:hAnsiTheme="minorHAnsi" w:cstheme="minorHAnsi"/>
          <w:sz w:val="22"/>
          <w:szCs w:val="22"/>
        </w:rPr>
        <w:t xml:space="preserve"> variety</w:t>
      </w:r>
      <w:r>
        <w:rPr>
          <w:rFonts w:asciiTheme="minorHAnsi" w:hAnsiTheme="minorHAnsi" w:cstheme="minorHAnsi"/>
          <w:sz w:val="22"/>
          <w:szCs w:val="22"/>
        </w:rPr>
        <w:t xml:space="preserve"> </w:t>
      </w:r>
      <w:r w:rsidR="009648C6">
        <w:rPr>
          <w:rFonts w:asciiTheme="minorHAnsi" w:hAnsiTheme="minorHAnsi" w:cstheme="minorHAnsi"/>
          <w:sz w:val="22"/>
          <w:szCs w:val="22"/>
        </w:rPr>
        <w:t xml:space="preserve">of </w:t>
      </w:r>
      <w:r>
        <w:rPr>
          <w:rFonts w:asciiTheme="minorHAnsi" w:hAnsiTheme="minorHAnsi" w:cstheme="minorHAnsi"/>
          <w:sz w:val="22"/>
          <w:szCs w:val="22"/>
        </w:rPr>
        <w:t>statistics and other data, both nationally and for TCNJ.</w:t>
      </w:r>
    </w:p>
    <w:p w14:paraId="2090ED38" w14:textId="64D4F572" w:rsidR="005C5FBC" w:rsidRDefault="005C5FBC" w:rsidP="00AD6615">
      <w:pPr>
        <w:pStyle w:val="ListParagraph"/>
        <w:numPr>
          <w:ilvl w:val="0"/>
          <w:numId w:val="49"/>
        </w:numPr>
        <w:rPr>
          <w:rFonts w:asciiTheme="minorHAnsi" w:hAnsiTheme="minorHAnsi" w:cstheme="minorHAnsi"/>
          <w:color w:val="000000" w:themeColor="text1"/>
          <w:sz w:val="22"/>
          <w:szCs w:val="22"/>
        </w:rPr>
      </w:pPr>
      <w:r w:rsidRPr="005C5FBC">
        <w:rPr>
          <w:rFonts w:asciiTheme="minorHAnsi" w:hAnsiTheme="minorHAnsi" w:cstheme="minorHAnsi"/>
          <w:color w:val="000000" w:themeColor="text1"/>
          <w:sz w:val="22"/>
          <w:szCs w:val="22"/>
        </w:rPr>
        <w:t>He reviewed things</w:t>
      </w:r>
      <w:r>
        <w:rPr>
          <w:rFonts w:asciiTheme="minorHAnsi" w:hAnsiTheme="minorHAnsi" w:cstheme="minorHAnsi"/>
          <w:color w:val="000000" w:themeColor="text1"/>
          <w:sz w:val="22"/>
          <w:szCs w:val="22"/>
        </w:rPr>
        <w:t xml:space="preserve"> that we can do if a student is in distress, and </w:t>
      </w:r>
      <w:r w:rsidR="009648C6">
        <w:rPr>
          <w:rFonts w:asciiTheme="minorHAnsi" w:hAnsiTheme="minorHAnsi" w:cstheme="minorHAnsi"/>
          <w:color w:val="000000" w:themeColor="text1"/>
          <w:sz w:val="22"/>
          <w:szCs w:val="22"/>
        </w:rPr>
        <w:t xml:space="preserve">talked about </w:t>
      </w:r>
      <w:r>
        <w:rPr>
          <w:rFonts w:asciiTheme="minorHAnsi" w:hAnsiTheme="minorHAnsi" w:cstheme="minorHAnsi"/>
          <w:color w:val="000000" w:themeColor="text1"/>
          <w:sz w:val="22"/>
          <w:szCs w:val="22"/>
        </w:rPr>
        <w:t>how to create a supportive classroom or office.</w:t>
      </w:r>
    </w:p>
    <w:p w14:paraId="2ECAFC28" w14:textId="5D3AEE62" w:rsidR="005C5FBC" w:rsidRDefault="005C5FBC"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did an overview of the various resources offered on campus through CAPS and other offices, as well as outside of the college.</w:t>
      </w:r>
    </w:p>
    <w:p w14:paraId="38D80AD5" w14:textId="7D8F802F" w:rsidR="005C5FBC" w:rsidRPr="005C5FBC" w:rsidRDefault="005C5FBC"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will forward the presentation to Matt to share with the Senate.</w:t>
      </w:r>
    </w:p>
    <w:p w14:paraId="21FC40B4" w14:textId="5C06A8C3" w:rsidR="00AD6615" w:rsidRDefault="00AD6615" w:rsidP="00AD6615">
      <w:pPr>
        <w:rPr>
          <w:rFonts w:asciiTheme="minorHAnsi" w:hAnsiTheme="minorHAnsi" w:cstheme="minorHAnsi"/>
          <w:b/>
          <w:color w:val="000000" w:themeColor="text1"/>
          <w:sz w:val="22"/>
          <w:szCs w:val="22"/>
        </w:rPr>
      </w:pPr>
    </w:p>
    <w:p w14:paraId="4452FD92" w14:textId="4AF24511" w:rsidR="00AD6615" w:rsidRDefault="00AD6615"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Replacement Appointments – Committee on Academic Programs and the Teaching and Learning Program Council</w:t>
      </w:r>
    </w:p>
    <w:p w14:paraId="4B507178" w14:textId="19B402E6" w:rsidR="00AD6615" w:rsidRDefault="005C5FBC"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Appointments Committee asked for self-nominations for these two committees.</w:t>
      </w:r>
    </w:p>
    <w:p w14:paraId="29DFFE35" w14:textId="47B4D108" w:rsidR="005C5FBC" w:rsidRDefault="005C5FBC"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committee recommends the following replacements:</w:t>
      </w:r>
    </w:p>
    <w:p w14:paraId="7EC3F5D8" w14:textId="384CD515" w:rsidR="005C5FBC" w:rsidRDefault="005C5FBC" w:rsidP="005C5FBC">
      <w:pPr>
        <w:pStyle w:val="ListParagraph"/>
        <w:numPr>
          <w:ilvl w:val="1"/>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CAP – Sharon Byrne</w:t>
      </w:r>
    </w:p>
    <w:p w14:paraId="7697523B" w14:textId="51F2C7AF" w:rsidR="005C5FBC" w:rsidRDefault="005C5FBC" w:rsidP="005C5FBC">
      <w:pPr>
        <w:pStyle w:val="ListParagraph"/>
        <w:numPr>
          <w:ilvl w:val="1"/>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TLPC – </w:t>
      </w:r>
      <w:r w:rsidR="009648C6">
        <w:rPr>
          <w:rFonts w:asciiTheme="minorHAnsi" w:hAnsiTheme="minorHAnsi" w:cstheme="minorHAnsi"/>
          <w:color w:val="000000" w:themeColor="text1"/>
          <w:sz w:val="22"/>
          <w:szCs w:val="22"/>
        </w:rPr>
        <w:t xml:space="preserve">Curt </w:t>
      </w:r>
      <w:proofErr w:type="spellStart"/>
      <w:r w:rsidR="009648C6">
        <w:rPr>
          <w:rFonts w:asciiTheme="minorHAnsi" w:hAnsiTheme="minorHAnsi" w:cstheme="minorHAnsi"/>
          <w:color w:val="000000" w:themeColor="text1"/>
          <w:sz w:val="22"/>
          <w:szCs w:val="22"/>
        </w:rPr>
        <w:t>Elderkin</w:t>
      </w:r>
      <w:proofErr w:type="spellEnd"/>
    </w:p>
    <w:p w14:paraId="0D7AD344" w14:textId="6312D79A" w:rsidR="005C5FBC" w:rsidRDefault="00EB171A" w:rsidP="005C5FBC">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Approved unanimously.</w:t>
      </w:r>
    </w:p>
    <w:p w14:paraId="4F51D19B" w14:textId="4F5CEB37" w:rsidR="00AD6615" w:rsidRDefault="00AD6615" w:rsidP="00AD6615">
      <w:pPr>
        <w:rPr>
          <w:rFonts w:asciiTheme="minorHAnsi" w:hAnsiTheme="minorHAnsi" w:cstheme="minorHAnsi"/>
          <w:color w:val="000000" w:themeColor="text1"/>
          <w:sz w:val="22"/>
          <w:szCs w:val="22"/>
        </w:rPr>
      </w:pPr>
    </w:p>
    <w:p w14:paraId="7B9706E3" w14:textId="64E619CB" w:rsidR="005C5FBC" w:rsidRDefault="00AD6615"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Committee Reports</w:t>
      </w:r>
    </w:p>
    <w:p w14:paraId="6A787256" w14:textId="1EDF1759" w:rsidR="00EB171A" w:rsidRPr="00EB171A" w:rsidRDefault="00EB171A" w:rsidP="00EB171A">
      <w:pPr>
        <w:pStyle w:val="ListParagraph"/>
        <w:numPr>
          <w:ilvl w:val="0"/>
          <w:numId w:val="50"/>
        </w:numPr>
        <w:rPr>
          <w:rFonts w:asciiTheme="minorHAnsi" w:hAnsiTheme="minorHAnsi" w:cstheme="minorHAnsi"/>
          <w:color w:val="000000" w:themeColor="text1"/>
          <w:sz w:val="22"/>
          <w:szCs w:val="22"/>
        </w:rPr>
      </w:pPr>
      <w:r w:rsidRPr="00EB171A">
        <w:rPr>
          <w:rFonts w:asciiTheme="minorHAnsi" w:hAnsiTheme="minorHAnsi" w:cstheme="minorHAnsi"/>
          <w:color w:val="000000" w:themeColor="text1"/>
          <w:sz w:val="22"/>
          <w:szCs w:val="22"/>
        </w:rPr>
        <w:t xml:space="preserve">SWG </w:t>
      </w:r>
      <w:r>
        <w:rPr>
          <w:rFonts w:asciiTheme="minorHAnsi" w:hAnsiTheme="minorHAnsi" w:cstheme="minorHAnsi"/>
          <w:color w:val="000000" w:themeColor="text1"/>
          <w:sz w:val="22"/>
          <w:szCs w:val="22"/>
        </w:rPr>
        <w:t xml:space="preserve">– Jana </w:t>
      </w:r>
      <w:proofErr w:type="spellStart"/>
      <w:r>
        <w:rPr>
          <w:rFonts w:asciiTheme="minorHAnsi" w:hAnsiTheme="minorHAnsi" w:cstheme="minorHAnsi"/>
          <w:color w:val="000000" w:themeColor="text1"/>
          <w:sz w:val="22"/>
          <w:szCs w:val="22"/>
        </w:rPr>
        <w:t>Gevertz</w:t>
      </w:r>
      <w:proofErr w:type="spellEnd"/>
    </w:p>
    <w:p w14:paraId="6F34B41B" w14:textId="52DA7B06" w:rsidR="00EB171A" w:rsidRDefault="00DF75BF"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attached report.</w:t>
      </w:r>
    </w:p>
    <w:p w14:paraId="0671DB04" w14:textId="546018A4" w:rsidR="00EB171A" w:rsidRDefault="00EB171A" w:rsidP="00EB171A">
      <w:pPr>
        <w:pStyle w:val="ListParagraph"/>
        <w:numPr>
          <w:ilvl w:val="0"/>
          <w:numId w:val="50"/>
        </w:numPr>
        <w:rPr>
          <w:rFonts w:asciiTheme="minorHAnsi" w:hAnsiTheme="minorHAnsi" w:cstheme="minorHAnsi"/>
          <w:color w:val="000000" w:themeColor="text1"/>
          <w:sz w:val="22"/>
          <w:szCs w:val="22"/>
        </w:rPr>
      </w:pPr>
      <w:r w:rsidRPr="00EB171A">
        <w:rPr>
          <w:rFonts w:asciiTheme="minorHAnsi" w:hAnsiTheme="minorHAnsi" w:cstheme="minorHAnsi"/>
          <w:color w:val="000000" w:themeColor="text1"/>
          <w:sz w:val="22"/>
          <w:szCs w:val="22"/>
        </w:rPr>
        <w:t>CAP – Deb Knox</w:t>
      </w:r>
    </w:p>
    <w:p w14:paraId="059E396D" w14:textId="6B611B7D"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attached report.</w:t>
      </w:r>
    </w:p>
    <w:p w14:paraId="219AA392" w14:textId="65BDFB35" w:rsidR="00EB171A" w:rsidRDefault="00EB171A" w:rsidP="00EB171A">
      <w:pPr>
        <w:pStyle w:val="ListParagraph"/>
        <w:numPr>
          <w:ilvl w:val="0"/>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CFA – Gary Dickinson</w:t>
      </w:r>
    </w:p>
    <w:p w14:paraId="445B1511" w14:textId="4A60266E"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attached report.</w:t>
      </w:r>
    </w:p>
    <w:p w14:paraId="3DE92ECF" w14:textId="1FDCAC3B" w:rsidR="00EB171A" w:rsidRDefault="00EB171A" w:rsidP="00EB171A">
      <w:pPr>
        <w:pStyle w:val="ListParagraph"/>
        <w:numPr>
          <w:ilvl w:val="0"/>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CSPP – Matt Bender</w:t>
      </w:r>
    </w:p>
    <w:p w14:paraId="6FC81FDC" w14:textId="0CBCC7F3"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committee has mostly been working on updates from SWG</w:t>
      </w:r>
      <w:r w:rsidR="00DF75BF">
        <w:rPr>
          <w:rFonts w:asciiTheme="minorHAnsi" w:hAnsiTheme="minorHAnsi" w:cstheme="minorHAnsi"/>
          <w:color w:val="000000" w:themeColor="text1"/>
          <w:sz w:val="22"/>
          <w:szCs w:val="22"/>
        </w:rPr>
        <w:t>.</w:t>
      </w:r>
    </w:p>
    <w:p w14:paraId="5A6A8857" w14:textId="4C7AE62A" w:rsidR="00EB171A" w:rsidRDefault="00EB171A" w:rsidP="00EB171A">
      <w:pPr>
        <w:pStyle w:val="ListParagraph"/>
        <w:numPr>
          <w:ilvl w:val="0"/>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 – Dave Prensky</w:t>
      </w:r>
    </w:p>
    <w:p w14:paraId="21DCA550" w14:textId="7883F638"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There’s a meeting this afternoon at 3pm via Zoom.</w:t>
      </w:r>
    </w:p>
    <w:p w14:paraId="6B6CDBD7" w14:textId="0F3F2754"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They continue to address </w:t>
      </w:r>
      <w:r w:rsidR="009648C6">
        <w:rPr>
          <w:rFonts w:asciiTheme="minorHAnsi" w:hAnsiTheme="minorHAnsi" w:cstheme="minorHAnsi"/>
          <w:color w:val="000000" w:themeColor="text1"/>
          <w:sz w:val="22"/>
          <w:szCs w:val="22"/>
        </w:rPr>
        <w:t>a number of</w:t>
      </w:r>
      <w:r>
        <w:rPr>
          <w:rFonts w:asciiTheme="minorHAnsi" w:hAnsiTheme="minorHAnsi" w:cstheme="minorHAnsi"/>
          <w:color w:val="000000" w:themeColor="text1"/>
          <w:sz w:val="22"/>
          <w:szCs w:val="22"/>
        </w:rPr>
        <w:t xml:space="preserve"> issues including an increase in grievances, adjunct issues, etc.</w:t>
      </w:r>
    </w:p>
    <w:p w14:paraId="1DA6CE94" w14:textId="5AD2A1CF" w:rsidR="00EB171A" w:rsidRDefault="00EB171A" w:rsidP="00EB171A">
      <w:pPr>
        <w:pStyle w:val="ListParagraph"/>
        <w:numPr>
          <w:ilvl w:val="1"/>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Next year is the last year of the current contract. Negotiations will begin at the beginning of next year.</w:t>
      </w:r>
    </w:p>
    <w:p w14:paraId="5D965B96" w14:textId="23646D79" w:rsidR="00EB171A" w:rsidRDefault="00EB171A" w:rsidP="00EB171A">
      <w:pPr>
        <w:pStyle w:val="ListParagraph"/>
        <w:numPr>
          <w:ilvl w:val="0"/>
          <w:numId w:val="5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Steering – Jill Bush</w:t>
      </w:r>
    </w:p>
    <w:p w14:paraId="4222DB30" w14:textId="5CA12C74" w:rsidR="003C6637" w:rsidRPr="00661F3A" w:rsidRDefault="00661F3A" w:rsidP="00AD6615">
      <w:pPr>
        <w:pStyle w:val="ListParagraph"/>
        <w:numPr>
          <w:ilvl w:val="1"/>
          <w:numId w:val="50"/>
        </w:numPr>
        <w:rPr>
          <w:rFonts w:asciiTheme="minorHAnsi" w:hAnsiTheme="minorHAnsi" w:cstheme="minorHAnsi"/>
          <w:color w:val="000000" w:themeColor="text1"/>
          <w:sz w:val="22"/>
          <w:szCs w:val="22"/>
        </w:rPr>
      </w:pPr>
      <w:r w:rsidRPr="00661F3A">
        <w:rPr>
          <w:rFonts w:asciiTheme="minorHAnsi" w:hAnsiTheme="minorHAnsi" w:cstheme="minorHAnsi"/>
          <w:sz w:val="22"/>
          <w:szCs w:val="22"/>
        </w:rPr>
        <w:t>Steering committee met on 2/2/202</w:t>
      </w:r>
      <w:r>
        <w:rPr>
          <w:rFonts w:asciiTheme="minorHAnsi" w:hAnsiTheme="minorHAnsi" w:cstheme="minorHAnsi"/>
          <w:sz w:val="22"/>
          <w:szCs w:val="22"/>
        </w:rPr>
        <w:t>2</w:t>
      </w:r>
      <w:r w:rsidRPr="00661F3A">
        <w:rPr>
          <w:rFonts w:asciiTheme="minorHAnsi" w:hAnsiTheme="minorHAnsi" w:cstheme="minorHAnsi"/>
          <w:sz w:val="22"/>
          <w:szCs w:val="22"/>
        </w:rPr>
        <w:t xml:space="preserve"> and is meeting on 2/16/2022.  Members of Steering discussed transfer credit charge, feedback from small groups regarding initial discussion on the changes to Governance document for DEI and executive committee</w:t>
      </w:r>
      <w:r>
        <w:rPr>
          <w:rFonts w:asciiTheme="minorHAnsi" w:hAnsiTheme="minorHAnsi" w:cstheme="minorHAnsi"/>
          <w:sz w:val="22"/>
          <w:szCs w:val="22"/>
        </w:rPr>
        <w:t>.</w:t>
      </w:r>
    </w:p>
    <w:p w14:paraId="5032443F" w14:textId="33710FBC" w:rsidR="00AD6615" w:rsidRDefault="00AD6615" w:rsidP="00AD6615">
      <w:pPr>
        <w:rPr>
          <w:rFonts w:asciiTheme="minorHAnsi" w:hAnsiTheme="minorHAnsi" w:cstheme="minorHAnsi"/>
          <w:b/>
          <w:color w:val="000000" w:themeColor="text1"/>
          <w:sz w:val="22"/>
          <w:szCs w:val="22"/>
        </w:rPr>
      </w:pPr>
    </w:p>
    <w:p w14:paraId="137579E3" w14:textId="77777777" w:rsidR="00AD6615" w:rsidRPr="00AD6615" w:rsidRDefault="00AD6615" w:rsidP="00AD6615">
      <w:pPr>
        <w:rPr>
          <w:rFonts w:asciiTheme="minorHAnsi" w:hAnsiTheme="minorHAnsi" w:cstheme="minorHAnsi"/>
          <w:b/>
          <w:color w:val="000000" w:themeColor="text1"/>
          <w:sz w:val="22"/>
          <w:szCs w:val="22"/>
        </w:rPr>
      </w:pPr>
    </w:p>
    <w:p w14:paraId="759DA7A6" w14:textId="2AF32CBC"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w:t>
      </w:r>
      <w:r w:rsidR="00661F3A">
        <w:rPr>
          <w:rFonts w:asciiTheme="minorHAnsi" w:hAnsiTheme="minorHAnsi" w:cstheme="minorHAnsi"/>
          <w:color w:val="000000" w:themeColor="text1"/>
          <w:sz w:val="22"/>
          <w:szCs w:val="22"/>
        </w:rPr>
        <w:t>17</w:t>
      </w:r>
      <w:r w:rsidR="000C5FD9">
        <w:rPr>
          <w:rFonts w:asciiTheme="minorHAnsi" w:hAnsiTheme="minorHAnsi" w:cstheme="minorHAnsi"/>
          <w:color w:val="000000" w:themeColor="text1"/>
          <w:sz w:val="22"/>
          <w:szCs w:val="22"/>
        </w:rPr>
        <w:t>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52FF0F52" w:rsidR="00C61C58"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t>Upcoming Events:</w:t>
      </w:r>
    </w:p>
    <w:p w14:paraId="1DFB8F10" w14:textId="56AC1D39" w:rsidR="00401A8C" w:rsidRDefault="00401A8C" w:rsidP="00C21280">
      <w:pPr>
        <w:rPr>
          <w:rFonts w:asciiTheme="minorHAnsi" w:hAnsiTheme="minorHAnsi" w:cstheme="minorHAnsi"/>
          <w:b/>
          <w:color w:val="000000" w:themeColor="text1"/>
          <w:sz w:val="22"/>
          <w:szCs w:val="22"/>
        </w:rPr>
      </w:pPr>
    </w:p>
    <w:p w14:paraId="10F5EB31" w14:textId="625062DB" w:rsidR="00661F3A" w:rsidRPr="00661F3A" w:rsidRDefault="00661F3A" w:rsidP="00661F3A">
      <w:pPr>
        <w:rPr>
          <w:rFonts w:asciiTheme="minorHAnsi" w:hAnsiTheme="minorHAnsi" w:cstheme="minorHAnsi"/>
          <w:sz w:val="22"/>
          <w:szCs w:val="22"/>
        </w:rPr>
      </w:pPr>
      <w:r w:rsidRPr="00661F3A">
        <w:rPr>
          <w:rFonts w:asciiTheme="minorHAnsi" w:hAnsiTheme="minorHAnsi" w:cstheme="minorHAnsi"/>
          <w:sz w:val="22"/>
          <w:szCs w:val="22"/>
        </w:rPr>
        <w:t xml:space="preserve">Black History Month Calendar: </w:t>
      </w:r>
      <w:hyperlink r:id="rId8" w:history="1">
        <w:r w:rsidRPr="00661F3A">
          <w:rPr>
            <w:rStyle w:val="Hyperlink"/>
            <w:rFonts w:asciiTheme="minorHAnsi" w:hAnsiTheme="minorHAnsi" w:cstheme="minorHAnsi"/>
            <w:sz w:val="22"/>
            <w:szCs w:val="22"/>
          </w:rPr>
          <w:t>https://diversity.tcnj.edu/black-history-month/</w:t>
        </w:r>
      </w:hyperlink>
    </w:p>
    <w:p w14:paraId="23394D91" w14:textId="40ED64CB"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March 2:</w:t>
      </w:r>
      <w:r w:rsidRPr="00661F3A">
        <w:rPr>
          <w:rFonts w:asciiTheme="minorHAnsi" w:hAnsiTheme="minorHAnsi" w:cstheme="minorHAnsi"/>
          <w:sz w:val="22"/>
          <w:szCs w:val="22"/>
        </w:rPr>
        <w:tab/>
        <w:t>Faculty Senate</w:t>
      </w:r>
    </w:p>
    <w:p w14:paraId="6A6A3737" w14:textId="3EB5A826"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March 10:</w:t>
      </w:r>
      <w:r w:rsidRPr="00661F3A">
        <w:rPr>
          <w:rFonts w:asciiTheme="minorHAnsi" w:hAnsiTheme="minorHAnsi" w:cstheme="minorHAnsi"/>
          <w:sz w:val="22"/>
          <w:szCs w:val="22"/>
        </w:rPr>
        <w:tab/>
        <w:t>4@4 session</w:t>
      </w:r>
    </w:p>
    <w:p w14:paraId="07D52A80" w14:textId="2256C231"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6:</w:t>
      </w:r>
      <w:r w:rsidRPr="00661F3A">
        <w:rPr>
          <w:rFonts w:asciiTheme="minorHAnsi" w:hAnsiTheme="minorHAnsi" w:cstheme="minorHAnsi"/>
          <w:sz w:val="22"/>
          <w:szCs w:val="22"/>
        </w:rPr>
        <w:tab/>
        <w:t>Faculty Senate</w:t>
      </w:r>
    </w:p>
    <w:p w14:paraId="0E9E1336" w14:textId="756492C3"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8:</w:t>
      </w:r>
      <w:r w:rsidRPr="00661F3A">
        <w:rPr>
          <w:rFonts w:asciiTheme="minorHAnsi" w:hAnsiTheme="minorHAnsi" w:cstheme="minorHAnsi"/>
          <w:sz w:val="22"/>
          <w:szCs w:val="22"/>
        </w:rPr>
        <w:tab/>
        <w:t>4@4 session</w:t>
      </w:r>
    </w:p>
    <w:p w14:paraId="61A502BE" w14:textId="48AF9E3C"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20:</w:t>
      </w:r>
      <w:r w:rsidRPr="00661F3A">
        <w:rPr>
          <w:rFonts w:asciiTheme="minorHAnsi" w:hAnsiTheme="minorHAnsi" w:cstheme="minorHAnsi"/>
          <w:sz w:val="22"/>
          <w:szCs w:val="22"/>
        </w:rPr>
        <w:tab/>
        <w:t>Faculty Senate</w:t>
      </w:r>
    </w:p>
    <w:p w14:paraId="1BA3AF90" w14:textId="31CF72AE"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22:</w:t>
      </w:r>
      <w:r w:rsidRPr="00661F3A">
        <w:rPr>
          <w:rFonts w:asciiTheme="minorHAnsi" w:hAnsiTheme="minorHAnsi" w:cstheme="minorHAnsi"/>
          <w:sz w:val="22"/>
          <w:szCs w:val="22"/>
        </w:rPr>
        <w:tab/>
        <w:t>Gitenstein-Hart Lecture</w:t>
      </w:r>
    </w:p>
    <w:p w14:paraId="7192FA55" w14:textId="2E5F2F30"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b/>
        <w:t>Dr. Karen Yan, Prof. of Mechanical Engineering (2019-2020 recipient)</w:t>
      </w:r>
    </w:p>
    <w:p w14:paraId="762B9B84" w14:textId="14A21118"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May 9:</w:t>
      </w:r>
      <w:r w:rsidRPr="00661F3A">
        <w:rPr>
          <w:rFonts w:asciiTheme="minorHAnsi" w:hAnsiTheme="minorHAnsi" w:cstheme="minorHAnsi"/>
          <w:sz w:val="22"/>
          <w:szCs w:val="22"/>
        </w:rPr>
        <w:tab/>
        <w:t>Last Senate meeting of the Year (9-10:30)</w:t>
      </w:r>
    </w:p>
    <w:p w14:paraId="18E091FF" w14:textId="77777777"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b/>
        <w:t xml:space="preserve">Annual </w:t>
      </w:r>
      <w:proofErr w:type="spellStart"/>
      <w:r w:rsidRPr="00661F3A">
        <w:rPr>
          <w:rFonts w:asciiTheme="minorHAnsi" w:hAnsiTheme="minorHAnsi" w:cstheme="minorHAnsi"/>
          <w:sz w:val="22"/>
          <w:szCs w:val="22"/>
        </w:rPr>
        <w:t>Pelson</w:t>
      </w:r>
      <w:proofErr w:type="spellEnd"/>
      <w:r w:rsidRPr="00661F3A">
        <w:rPr>
          <w:rFonts w:asciiTheme="minorHAnsi" w:hAnsiTheme="minorHAnsi" w:cstheme="minorHAnsi"/>
          <w:sz w:val="22"/>
          <w:szCs w:val="22"/>
        </w:rPr>
        <w:t xml:space="preserve"> Lecture (10:30-12)</w:t>
      </w:r>
    </w:p>
    <w:p w14:paraId="7248CBFF" w14:textId="7A4DAFC3" w:rsidR="00661F3A" w:rsidRPr="00661F3A" w:rsidRDefault="00661F3A"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D</w:t>
      </w:r>
      <w:r w:rsidRPr="00661F3A">
        <w:rPr>
          <w:rFonts w:asciiTheme="minorHAnsi" w:hAnsiTheme="minorHAnsi" w:cstheme="minorHAnsi"/>
          <w:sz w:val="22"/>
          <w:szCs w:val="22"/>
        </w:rPr>
        <w:t xml:space="preserve">r. Tina Sikka, </w:t>
      </w:r>
      <w:r w:rsidRPr="00661F3A">
        <w:rPr>
          <w:rFonts w:asciiTheme="minorHAnsi" w:hAnsiTheme="minorHAnsi" w:cstheme="minorHAnsi"/>
          <w:color w:val="191919"/>
          <w:sz w:val="22"/>
          <w:szCs w:val="22"/>
        </w:rPr>
        <w:t>Lecturer in Media, Culture, and Heritage at the University of Newcastle, UK</w:t>
      </w:r>
    </w:p>
    <w:p w14:paraId="5FC7D80E" w14:textId="10B87904" w:rsidR="00EB171A" w:rsidRDefault="00EB171A" w:rsidP="00401A8C">
      <w:pPr>
        <w:rPr>
          <w:rFonts w:asciiTheme="minorHAnsi" w:hAnsiTheme="minorHAnsi" w:cstheme="minorHAnsi"/>
          <w:color w:val="000000" w:themeColor="text1"/>
          <w:sz w:val="22"/>
          <w:szCs w:val="22"/>
        </w:rPr>
      </w:pPr>
    </w:p>
    <w:p w14:paraId="10073F76" w14:textId="011A3D68" w:rsidR="00EB171A" w:rsidRDefault="00EB171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1C41FF02" w14:textId="3B496FB2" w:rsidR="00DF75BF" w:rsidRDefault="00DF75BF" w:rsidP="00EB171A">
      <w:pPr>
        <w:rPr>
          <w:b/>
          <w:bCs/>
        </w:rPr>
      </w:pPr>
      <w:r>
        <w:rPr>
          <w:b/>
          <w:bCs/>
        </w:rPr>
        <w:lastRenderedPageBreak/>
        <w:t>SWG Report to Faculty Senate</w:t>
      </w:r>
    </w:p>
    <w:p w14:paraId="0B4EE08D" w14:textId="0DADDBFA" w:rsidR="00DF75BF" w:rsidRDefault="00DF75BF" w:rsidP="00EB171A">
      <w:pPr>
        <w:rPr>
          <w:b/>
          <w:bCs/>
        </w:rPr>
      </w:pPr>
      <w:r>
        <w:rPr>
          <w:b/>
          <w:bCs/>
        </w:rPr>
        <w:t xml:space="preserve">Jana </w:t>
      </w:r>
      <w:proofErr w:type="spellStart"/>
      <w:r>
        <w:rPr>
          <w:b/>
          <w:bCs/>
        </w:rPr>
        <w:t>Gevertz</w:t>
      </w:r>
      <w:proofErr w:type="spellEnd"/>
      <w:r>
        <w:rPr>
          <w:b/>
          <w:bCs/>
        </w:rPr>
        <w:t xml:space="preserve"> - 2/16/22</w:t>
      </w:r>
    </w:p>
    <w:p w14:paraId="61DCB805" w14:textId="6B8C8C7A" w:rsidR="00DF75BF" w:rsidRDefault="00DF75BF" w:rsidP="00EB171A">
      <w:pPr>
        <w:rPr>
          <w:b/>
          <w:bCs/>
        </w:rPr>
      </w:pPr>
    </w:p>
    <w:p w14:paraId="09F61D68" w14:textId="42C585E7" w:rsidR="00DF75BF" w:rsidRPr="00DF75BF" w:rsidRDefault="00DF75BF" w:rsidP="00EB171A">
      <w:pPr>
        <w:rPr>
          <w:rFonts w:asciiTheme="minorHAnsi" w:hAnsiTheme="minorHAnsi" w:cstheme="minorHAnsi"/>
          <w:b/>
          <w:bCs/>
          <w:sz w:val="22"/>
          <w:szCs w:val="22"/>
        </w:rPr>
      </w:pPr>
      <w:r w:rsidRPr="00DF75BF">
        <w:rPr>
          <w:rFonts w:asciiTheme="minorHAnsi" w:hAnsiTheme="minorHAnsi" w:cstheme="minorHAnsi"/>
          <w:sz w:val="22"/>
          <w:szCs w:val="22"/>
        </w:rPr>
        <w:t>The Strategic Working Group (SWG) has been meeting regularly over the last several months. Currently, the work of the group is being informed by the work of six subgroups composed of members of SWG and other members of the campus community. These groups are working on six major goals: 1) reimagining the core academic experience, 2) career-aligned experience and employee partnership, 3) student life and campus culture, 4) community impact and outreach, 5) continuing education and online learning, 6) enrollment. If you want to see the report-outs from SWG to the campus community, you can access those videos here: </w:t>
      </w:r>
      <w:hyperlink r:id="rId9" w:tgtFrame="_blank" w:history="1">
        <w:r w:rsidRPr="00DF75BF">
          <w:rPr>
            <w:rStyle w:val="Hyperlink"/>
            <w:rFonts w:asciiTheme="minorHAnsi" w:hAnsiTheme="minorHAnsi" w:cstheme="minorHAnsi"/>
            <w:sz w:val="22"/>
            <w:szCs w:val="22"/>
          </w:rPr>
          <w:t>Strategy Working Group | Strategic Planning (tcnj.edu)</w:t>
        </w:r>
      </w:hyperlink>
      <w:r w:rsidRPr="00DF75BF">
        <w:rPr>
          <w:rFonts w:asciiTheme="minorHAnsi" w:hAnsiTheme="minorHAnsi" w:cstheme="minorHAnsi"/>
          <w:sz w:val="22"/>
          <w:szCs w:val="22"/>
        </w:rPr>
        <w:t>. </w:t>
      </w:r>
    </w:p>
    <w:p w14:paraId="0682F7D6" w14:textId="77777777" w:rsidR="00DF75BF" w:rsidRDefault="00DF75BF" w:rsidP="00EB171A">
      <w:pPr>
        <w:rPr>
          <w:b/>
          <w:bCs/>
        </w:rPr>
      </w:pPr>
    </w:p>
    <w:p w14:paraId="65F41217" w14:textId="77777777" w:rsidR="00DF75BF" w:rsidRDefault="00DF75BF" w:rsidP="00EB171A">
      <w:pPr>
        <w:rPr>
          <w:b/>
          <w:bCs/>
        </w:rPr>
      </w:pPr>
    </w:p>
    <w:p w14:paraId="08EEB9EC" w14:textId="77777777" w:rsidR="00DF75BF" w:rsidRDefault="00DF75BF" w:rsidP="00EB171A">
      <w:pPr>
        <w:rPr>
          <w:b/>
          <w:bCs/>
        </w:rPr>
      </w:pPr>
    </w:p>
    <w:p w14:paraId="66596A71" w14:textId="5F66E1BB" w:rsidR="00EB171A" w:rsidRDefault="00EB171A" w:rsidP="00EB171A">
      <w:pPr>
        <w:rPr>
          <w:b/>
          <w:bCs/>
        </w:rPr>
      </w:pPr>
      <w:r>
        <w:rPr>
          <w:b/>
          <w:bCs/>
        </w:rPr>
        <w:t>CAP Report to Faculty Senate</w:t>
      </w:r>
    </w:p>
    <w:p w14:paraId="0F557035" w14:textId="77777777" w:rsidR="00EB171A" w:rsidRDefault="00EB171A" w:rsidP="00EB171A">
      <w:pPr>
        <w:rPr>
          <w:b/>
          <w:bCs/>
        </w:rPr>
      </w:pPr>
      <w:r>
        <w:rPr>
          <w:b/>
          <w:bCs/>
        </w:rPr>
        <w:t>February 16, 2022</w:t>
      </w:r>
    </w:p>
    <w:p w14:paraId="5BBE5E18" w14:textId="77777777" w:rsidR="00EB171A" w:rsidRDefault="00EB171A" w:rsidP="00EB171A">
      <w:pPr>
        <w:rPr>
          <w:b/>
          <w:bCs/>
        </w:rPr>
      </w:pPr>
      <w:r>
        <w:rPr>
          <w:b/>
          <w:bCs/>
        </w:rPr>
        <w:t>Deborah Knox, Computer Science</w:t>
      </w:r>
    </w:p>
    <w:p w14:paraId="312CAB71" w14:textId="77777777" w:rsidR="00EB171A" w:rsidRDefault="00EB171A" w:rsidP="00EB171A">
      <w:pPr>
        <w:rPr>
          <w:b/>
          <w:bCs/>
        </w:rPr>
      </w:pPr>
    </w:p>
    <w:p w14:paraId="19B9D709" w14:textId="77777777" w:rsidR="00EB171A" w:rsidRDefault="00EB171A" w:rsidP="00EB171A"/>
    <w:p w14:paraId="097B249A" w14:textId="77777777" w:rsidR="00EB171A" w:rsidRDefault="00EB171A" w:rsidP="00EB171A">
      <w:r>
        <w:t>CAP is working on a number of charges, listed below.</w:t>
      </w:r>
    </w:p>
    <w:p w14:paraId="5437E17D" w14:textId="77777777" w:rsidR="00EB171A" w:rsidRDefault="00EB171A" w:rsidP="00EB171A"/>
    <w:p w14:paraId="7ED2656D" w14:textId="77777777" w:rsidR="00EB171A" w:rsidRDefault="00EB171A" w:rsidP="00EB171A">
      <w:r>
        <w:t>The Civil Engineering minor was approved.</w:t>
      </w:r>
    </w:p>
    <w:p w14:paraId="688A11D0" w14:textId="77777777" w:rsidR="00EB171A" w:rsidRDefault="00EB171A" w:rsidP="00EB171A"/>
    <w:p w14:paraId="13DA4549" w14:textId="77777777" w:rsidR="00EB171A" w:rsidRDefault="00EB171A" w:rsidP="00EB171A">
      <w:r>
        <w:t xml:space="preserve">Today, we collected feedback during an Open Forum on the </w:t>
      </w:r>
      <w:r>
        <w:rPr>
          <w:b/>
          <w:bCs/>
        </w:rPr>
        <w:t>Ungraded Option Policy</w:t>
      </w:r>
      <w:r>
        <w:t xml:space="preserve"> and the proposed changes.  Collection of written feedback will occur soon.</w:t>
      </w:r>
    </w:p>
    <w:p w14:paraId="37A0CA80" w14:textId="77777777" w:rsidR="00EB171A" w:rsidRDefault="00EB171A" w:rsidP="00EB171A"/>
    <w:p w14:paraId="2E856732" w14:textId="77777777" w:rsidR="00EB171A" w:rsidRDefault="00EB171A" w:rsidP="00EB171A">
      <w:r>
        <w:t xml:space="preserve">There </w:t>
      </w:r>
      <w:proofErr w:type="gramStart"/>
      <w:r>
        <w:t>is  a</w:t>
      </w:r>
      <w:proofErr w:type="gramEnd"/>
      <w:r>
        <w:t xml:space="preserve"> 5 year review of Graduate Admissions that is on-going.   Feedback from the School of Education is anticipated.</w:t>
      </w:r>
    </w:p>
    <w:p w14:paraId="4ED4A2B5" w14:textId="77777777" w:rsidR="00EB171A" w:rsidRDefault="00EB171A" w:rsidP="00EB171A"/>
    <w:p w14:paraId="4E72E6C6" w14:textId="77777777" w:rsidR="00EB171A" w:rsidRDefault="00EB171A" w:rsidP="00EB171A">
      <w:r>
        <w:t>A subcommittee is working on the Syllabus Policy, having received feedback from stakeholders.  The subcommittee is working on a template, and a link to all the relevant College policies that augment a syllabus.  Discussion about a diversity statement will be shared with Faculty Senate.</w:t>
      </w:r>
    </w:p>
    <w:p w14:paraId="290C1EC9" w14:textId="77777777" w:rsidR="00EB171A" w:rsidRDefault="00EB171A" w:rsidP="00EB171A"/>
    <w:p w14:paraId="5105CB3A" w14:textId="77777777" w:rsidR="00EB171A" w:rsidRDefault="00EB171A" w:rsidP="00EB171A">
      <w:r>
        <w:t>A subcommittee working on the Interim policy on Remote Classroom Camera/Microphone Use and Recording has met with College counsel to discuss in-person student conduct policies for online students.  The subcommittee is making progress.</w:t>
      </w:r>
    </w:p>
    <w:p w14:paraId="6652517A" w14:textId="77777777" w:rsidR="00EB171A" w:rsidRDefault="00EB171A" w:rsidP="00EB171A"/>
    <w:p w14:paraId="7F0C9440" w14:textId="77777777" w:rsidR="00EB171A" w:rsidRDefault="00EB171A" w:rsidP="00EB171A">
      <w:r>
        <w:t>The Course Delivery Mode subcommittee is working on integrating Task Force’s definitions of types of courses.  This will soon be shared with stakeholders.</w:t>
      </w:r>
    </w:p>
    <w:p w14:paraId="20A060C6" w14:textId="77777777" w:rsidR="00EB171A" w:rsidRDefault="00EB171A" w:rsidP="00EB171A"/>
    <w:p w14:paraId="43AD59C8" w14:textId="77777777" w:rsidR="00EB171A" w:rsidRDefault="00EB171A" w:rsidP="00EB171A">
      <w:r>
        <w:t>Selected additional charges include:</w:t>
      </w:r>
    </w:p>
    <w:p w14:paraId="6C5A1CEE" w14:textId="77777777" w:rsidR="00EB171A" w:rsidRDefault="00EB171A" w:rsidP="00EB171A">
      <w:r>
        <w:t>Undergraduate Transfer Credit</w:t>
      </w:r>
    </w:p>
    <w:p w14:paraId="5814B70B" w14:textId="77777777" w:rsidR="00EB171A" w:rsidRDefault="00EB171A" w:rsidP="00EB171A">
      <w:r>
        <w:t>Graduate Certificate Programs</w:t>
      </w:r>
    </w:p>
    <w:p w14:paraId="2DBF0015" w14:textId="77777777" w:rsidR="00EB171A" w:rsidRDefault="00EB171A" w:rsidP="00EB171A">
      <w:r>
        <w:t>Undergraduate Certificate Programs</w:t>
      </w:r>
    </w:p>
    <w:p w14:paraId="1372EC5D" w14:textId="77777777" w:rsidR="00EB171A" w:rsidRDefault="00EB171A" w:rsidP="00EB171A">
      <w:r>
        <w:t>Graduate Non-Enrollment Policy</w:t>
      </w:r>
    </w:p>
    <w:p w14:paraId="3AE2713F" w14:textId="77777777" w:rsidR="00EB171A" w:rsidRDefault="00EB171A" w:rsidP="00EB171A">
      <w:r>
        <w:t>And others…</w:t>
      </w:r>
    </w:p>
    <w:p w14:paraId="1C1F3FFA" w14:textId="77777777" w:rsidR="00EB171A" w:rsidRDefault="00EB171A" w:rsidP="00EB171A"/>
    <w:p w14:paraId="75E6153C" w14:textId="65AF3269" w:rsidR="00EB171A" w:rsidRDefault="00EB171A" w:rsidP="00EB171A"/>
    <w:p w14:paraId="0D2DC7EE" w14:textId="305BAA83" w:rsidR="00EB171A" w:rsidRDefault="00EB171A" w:rsidP="00EB171A"/>
    <w:p w14:paraId="70557609" w14:textId="77777777" w:rsidR="00EB171A" w:rsidRPr="00EB171A" w:rsidRDefault="00EB171A" w:rsidP="00EB171A">
      <w:pPr>
        <w:rPr>
          <w:b/>
        </w:rPr>
      </w:pPr>
      <w:r w:rsidRPr="00EB171A">
        <w:rPr>
          <w:b/>
        </w:rPr>
        <w:t>CFA Report for 2-16-22 Faculty Senate Meeting</w:t>
      </w:r>
    </w:p>
    <w:p w14:paraId="47A92E25" w14:textId="77BD9FF2" w:rsidR="00EB171A" w:rsidRDefault="00EB171A" w:rsidP="00EB171A">
      <w:r w:rsidRPr="00EB171A">
        <w:rPr>
          <w:b/>
        </w:rPr>
        <w:t>Gary Dickinson</w:t>
      </w:r>
      <w:r>
        <w:br/>
      </w:r>
      <w:r>
        <w:br/>
        <w:t xml:space="preserve">CFA is working diligently on Disciplinary Standards received since the start of the academic year and has been issuing memos to individual departments with revision requests. CFA made several specific requests to the faculty at the Senate Meeting regarding Disciplinary </w:t>
      </w:r>
      <w:proofErr w:type="gramStart"/>
      <w:r>
        <w:t>Standards  The</w:t>
      </w:r>
      <w:proofErr w:type="gramEnd"/>
      <w:r>
        <w:t xml:space="preserve"> goal of the DS is to make scholarly/creative expectations clear to both the candidate and PRC. CFA encouraged departments that are beginning the revision process to be concise, and avoid repetition with the College-wide RPD. CFA has a Disciplinary Standards best practices checklist they can share and the chair and vice chair of CFA are available to speak with Department Chairs before writing. CFA has also continued work on several open charges: SOSA program (to be presented at the March 2 Faculty Senate Meeting), Assessment of Advising (open fora have </w:t>
      </w:r>
      <w:proofErr w:type="spellStart"/>
      <w:r>
        <w:t>ben</w:t>
      </w:r>
      <w:proofErr w:type="spellEnd"/>
      <w:r>
        <w:t xml:space="preserve"> conducted at Faculty Senate, Staff Senate and Student Government), review of Student Feedback, revisions to the service section of the Reappointment and Promotions document, Use of Copyrighted Materials and 5-year reviews of the Reviewing Undergraduate Advising Policies &amp; Practices Policy, Financial Conflicts of Interest Policy, and Retention of Student Work Policy.</w:t>
      </w:r>
    </w:p>
    <w:p w14:paraId="16C9A093" w14:textId="77777777" w:rsidR="00EB171A" w:rsidRDefault="00EB171A" w:rsidP="00EB171A"/>
    <w:p w14:paraId="5021F1F5" w14:textId="77777777" w:rsidR="00EB171A" w:rsidRDefault="00EB171A" w:rsidP="00EB171A"/>
    <w:p w14:paraId="414C1394" w14:textId="77777777" w:rsidR="00EB171A" w:rsidRDefault="00EB171A" w:rsidP="00EB171A"/>
    <w:p w14:paraId="1E97EADC" w14:textId="77777777" w:rsidR="00EB171A" w:rsidRDefault="00EB171A" w:rsidP="00EB171A">
      <w:r>
        <w:t xml:space="preserve"> </w:t>
      </w:r>
    </w:p>
    <w:p w14:paraId="66B26059" w14:textId="77777777" w:rsidR="00EB171A" w:rsidRPr="00401A8C" w:rsidRDefault="00EB171A" w:rsidP="00401A8C">
      <w:pPr>
        <w:rPr>
          <w:rFonts w:asciiTheme="minorHAnsi" w:hAnsiTheme="minorHAnsi" w:cstheme="minorHAnsi"/>
          <w:color w:val="000000" w:themeColor="text1"/>
          <w:sz w:val="22"/>
          <w:szCs w:val="22"/>
        </w:rPr>
      </w:pPr>
    </w:p>
    <w:p w14:paraId="31BF5F49" w14:textId="4F30804C" w:rsidR="005939E5" w:rsidRDefault="005939E5" w:rsidP="001621F6">
      <w:pPr>
        <w:rPr>
          <w:rFonts w:asciiTheme="minorHAnsi" w:hAnsiTheme="minorHAnsi" w:cstheme="minorHAnsi"/>
          <w:color w:val="000000" w:themeColor="text1"/>
          <w:sz w:val="22"/>
          <w:szCs w:val="22"/>
        </w:rPr>
      </w:pPr>
    </w:p>
    <w:sectPr w:rsidR="005939E5"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C296" w14:textId="77777777" w:rsidR="003A1708" w:rsidRDefault="003A1708" w:rsidP="00156D90">
      <w:r>
        <w:separator/>
      </w:r>
    </w:p>
  </w:endnote>
  <w:endnote w:type="continuationSeparator" w:id="0">
    <w:p w14:paraId="13CE7F74" w14:textId="77777777" w:rsidR="003A1708" w:rsidRDefault="003A1708"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E110" w14:textId="77777777" w:rsidR="003A1708" w:rsidRDefault="003A1708" w:rsidP="00156D90">
      <w:r>
        <w:separator/>
      </w:r>
    </w:p>
  </w:footnote>
  <w:footnote w:type="continuationSeparator" w:id="0">
    <w:p w14:paraId="12089610" w14:textId="77777777" w:rsidR="003A1708" w:rsidRDefault="003A1708"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C65A4E"/>
    <w:multiLevelType w:val="hybridMultilevel"/>
    <w:tmpl w:val="832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05C1"/>
    <w:multiLevelType w:val="hybridMultilevel"/>
    <w:tmpl w:val="D03A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20"/>
  </w:num>
  <w:num w:numId="5">
    <w:abstractNumId w:val="5"/>
  </w:num>
  <w:num w:numId="6">
    <w:abstractNumId w:val="8"/>
  </w:num>
  <w:num w:numId="7">
    <w:abstractNumId w:val="9"/>
  </w:num>
  <w:num w:numId="8">
    <w:abstractNumId w:val="36"/>
  </w:num>
  <w:num w:numId="9">
    <w:abstractNumId w:val="22"/>
  </w:num>
  <w:num w:numId="10">
    <w:abstractNumId w:val="32"/>
  </w:num>
  <w:num w:numId="11">
    <w:abstractNumId w:val="4"/>
  </w:num>
  <w:num w:numId="12">
    <w:abstractNumId w:val="25"/>
  </w:num>
  <w:num w:numId="13">
    <w:abstractNumId w:val="37"/>
  </w:num>
  <w:num w:numId="14">
    <w:abstractNumId w:val="19"/>
  </w:num>
  <w:num w:numId="15">
    <w:abstractNumId w:val="2"/>
  </w:num>
  <w:num w:numId="16">
    <w:abstractNumId w:val="18"/>
  </w:num>
  <w:num w:numId="17">
    <w:abstractNumId w:val="40"/>
  </w:num>
  <w:num w:numId="18">
    <w:abstractNumId w:val="46"/>
  </w:num>
  <w:num w:numId="19">
    <w:abstractNumId w:val="28"/>
  </w:num>
  <w:num w:numId="20">
    <w:abstractNumId w:val="14"/>
  </w:num>
  <w:num w:numId="21">
    <w:abstractNumId w:val="10"/>
  </w:num>
  <w:num w:numId="22">
    <w:abstractNumId w:val="23"/>
  </w:num>
  <w:num w:numId="23">
    <w:abstractNumId w:val="49"/>
  </w:num>
  <w:num w:numId="24">
    <w:abstractNumId w:val="44"/>
  </w:num>
  <w:num w:numId="25">
    <w:abstractNumId w:val="41"/>
  </w:num>
  <w:num w:numId="26">
    <w:abstractNumId w:val="24"/>
  </w:num>
  <w:num w:numId="27">
    <w:abstractNumId w:val="33"/>
  </w:num>
  <w:num w:numId="28">
    <w:abstractNumId w:val="1"/>
  </w:num>
  <w:num w:numId="29">
    <w:abstractNumId w:val="11"/>
  </w:num>
  <w:num w:numId="30">
    <w:abstractNumId w:val="43"/>
  </w:num>
  <w:num w:numId="31">
    <w:abstractNumId w:val="3"/>
  </w:num>
  <w:num w:numId="32">
    <w:abstractNumId w:val="12"/>
  </w:num>
  <w:num w:numId="33">
    <w:abstractNumId w:val="34"/>
  </w:num>
  <w:num w:numId="34">
    <w:abstractNumId w:val="47"/>
  </w:num>
  <w:num w:numId="35">
    <w:abstractNumId w:val="21"/>
  </w:num>
  <w:num w:numId="36">
    <w:abstractNumId w:val="45"/>
  </w:num>
  <w:num w:numId="37">
    <w:abstractNumId w:val="42"/>
  </w:num>
  <w:num w:numId="38">
    <w:abstractNumId w:val="31"/>
  </w:num>
  <w:num w:numId="39">
    <w:abstractNumId w:val="48"/>
  </w:num>
  <w:num w:numId="40">
    <w:abstractNumId w:val="16"/>
  </w:num>
  <w:num w:numId="41">
    <w:abstractNumId w:val="38"/>
  </w:num>
  <w:num w:numId="42">
    <w:abstractNumId w:val="0"/>
  </w:num>
  <w:num w:numId="43">
    <w:abstractNumId w:val="26"/>
  </w:num>
  <w:num w:numId="44">
    <w:abstractNumId w:val="30"/>
  </w:num>
  <w:num w:numId="45">
    <w:abstractNumId w:val="35"/>
  </w:num>
  <w:num w:numId="46">
    <w:abstractNumId w:val="29"/>
  </w:num>
  <w:num w:numId="47">
    <w:abstractNumId w:val="7"/>
  </w:num>
  <w:num w:numId="48">
    <w:abstractNumId w:val="6"/>
  </w:num>
  <w:num w:numId="49">
    <w:abstractNumId w:val="15"/>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36F"/>
    <w:rsid w:val="00547675"/>
    <w:rsid w:val="00550531"/>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E7FD3"/>
    <w:rsid w:val="007F303D"/>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7A7F"/>
    <w:rsid w:val="009A0216"/>
    <w:rsid w:val="009A1C52"/>
    <w:rsid w:val="009A38CD"/>
    <w:rsid w:val="009A5263"/>
    <w:rsid w:val="009A5484"/>
    <w:rsid w:val="009A616F"/>
    <w:rsid w:val="009A6C15"/>
    <w:rsid w:val="009B03C4"/>
    <w:rsid w:val="009B1B7A"/>
    <w:rsid w:val="009B49FC"/>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B00ED"/>
    <w:rsid w:val="00EB171A"/>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tcnj.edu/black-history-mon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ategicplanning.tcnj.edu/strategic-planning-2021/strategy-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418F-2096-4BF7-92ED-D18E54FA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11</cp:revision>
  <cp:lastPrinted>2022-02-25T15:33:00Z</cp:lastPrinted>
  <dcterms:created xsi:type="dcterms:W3CDTF">2021-11-29T19:55:00Z</dcterms:created>
  <dcterms:modified xsi:type="dcterms:W3CDTF">2022-02-25T19:44:00Z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