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bookmarkStart w:id="0" w:name="_GoBack"/>
      <w:bookmarkEnd w:id="0"/>
    </w:p>
    <w:p w:rsidR="009E182A" w:rsidRPr="00500434" w:rsidRDefault="00CE7461" w:rsidP="009E182A">
      <w:pPr>
        <w:jc w:val="center"/>
        <w:rPr>
          <w:rFonts w:asciiTheme="minorHAnsi" w:hAnsiTheme="minorHAnsi" w:cstheme="minorHAnsi"/>
          <w:b/>
        </w:rPr>
      </w:pPr>
      <w:r>
        <w:rPr>
          <w:rFonts w:asciiTheme="minorHAnsi" w:hAnsiTheme="minorHAnsi" w:cstheme="minorHAnsi"/>
          <w:b/>
        </w:rPr>
        <w:t>October 16, 2013</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807C06" w:rsidRPr="00500434">
        <w:rPr>
          <w:rFonts w:asciiTheme="minorHAnsi" w:hAnsiTheme="minorHAnsi" w:cstheme="minorHAnsi"/>
          <w:sz w:val="22"/>
          <w:szCs w:val="22"/>
        </w:rPr>
        <w:t>Alves</w:t>
      </w:r>
      <w:proofErr w:type="spellEnd"/>
      <w:r w:rsidR="00807C06" w:rsidRPr="00500434">
        <w:rPr>
          <w:rFonts w:asciiTheme="minorHAnsi" w:hAnsiTheme="minorHAnsi" w:cstheme="minorHAnsi"/>
          <w:sz w:val="22"/>
          <w:szCs w:val="22"/>
        </w:rPr>
        <w:t xml:space="preserve">, </w:t>
      </w:r>
      <w:proofErr w:type="spellStart"/>
      <w:r w:rsidR="00807C06" w:rsidRPr="00500434">
        <w:rPr>
          <w:rFonts w:asciiTheme="minorHAnsi" w:hAnsiTheme="minorHAnsi" w:cstheme="minorHAnsi"/>
          <w:sz w:val="22"/>
          <w:szCs w:val="22"/>
        </w:rPr>
        <w:t>Ammentorp</w:t>
      </w:r>
      <w:proofErr w:type="spellEnd"/>
      <w:r w:rsidR="00807C06" w:rsidRPr="00500434">
        <w:rPr>
          <w:rFonts w:asciiTheme="minorHAnsi" w:hAnsiTheme="minorHAnsi" w:cstheme="minorHAnsi"/>
          <w:sz w:val="22"/>
          <w:szCs w:val="22"/>
        </w:rPr>
        <w:t>, Antony</w:t>
      </w:r>
      <w:r w:rsidR="00C73B21" w:rsidRPr="00500434">
        <w:rPr>
          <w:rFonts w:asciiTheme="minorHAnsi" w:hAnsiTheme="minorHAnsi" w:cstheme="minorHAnsi"/>
          <w:sz w:val="22"/>
          <w:szCs w:val="22"/>
        </w:rPr>
        <w:t xml:space="preserve">, Bender, </w:t>
      </w:r>
      <w:proofErr w:type="spellStart"/>
      <w:r w:rsidR="00C73B21" w:rsidRPr="00500434">
        <w:rPr>
          <w:rFonts w:asciiTheme="minorHAnsi" w:hAnsiTheme="minorHAnsi" w:cstheme="minorHAnsi"/>
          <w:sz w:val="22"/>
          <w:szCs w:val="22"/>
        </w:rPr>
        <w:t>Beyers</w:t>
      </w:r>
      <w:proofErr w:type="spellEnd"/>
      <w:r w:rsidR="00C73B21" w:rsidRPr="00500434">
        <w:rPr>
          <w:rFonts w:asciiTheme="minorHAnsi" w:hAnsiTheme="minorHAnsi" w:cstheme="minorHAnsi"/>
          <w:sz w:val="22"/>
          <w:szCs w:val="22"/>
        </w:rPr>
        <w:t>, Blake, Brown-</w:t>
      </w:r>
      <w:proofErr w:type="spellStart"/>
      <w:r w:rsidR="00C73B21" w:rsidRPr="00500434">
        <w:rPr>
          <w:rFonts w:asciiTheme="minorHAnsi" w:hAnsiTheme="minorHAnsi" w:cstheme="minorHAnsi"/>
          <w:sz w:val="22"/>
          <w:szCs w:val="22"/>
        </w:rPr>
        <w:t>Glaude</w:t>
      </w:r>
      <w:proofErr w:type="spellEnd"/>
      <w:r w:rsidR="00C73B21" w:rsidRPr="00500434">
        <w:rPr>
          <w:rFonts w:asciiTheme="minorHAnsi" w:hAnsiTheme="minorHAnsi" w:cstheme="minorHAnsi"/>
          <w:sz w:val="22"/>
          <w:szCs w:val="22"/>
        </w:rPr>
        <w:t xml:space="preserve">, Chan, Curtis, </w:t>
      </w:r>
      <w:proofErr w:type="spellStart"/>
      <w:r w:rsidR="00C73B21" w:rsidRPr="00500434">
        <w:rPr>
          <w:rFonts w:asciiTheme="minorHAnsi" w:hAnsiTheme="minorHAnsi" w:cstheme="minorHAnsi"/>
          <w:sz w:val="22"/>
          <w:szCs w:val="22"/>
        </w:rPr>
        <w:t>Deese</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Dell’Angelo</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Eberly</w:t>
      </w:r>
      <w:proofErr w:type="spellEnd"/>
      <w:r w:rsidR="00C73B21" w:rsidRPr="00500434">
        <w:rPr>
          <w:rFonts w:asciiTheme="minorHAnsi" w:hAnsiTheme="minorHAnsi" w:cstheme="minorHAnsi"/>
          <w:sz w:val="22"/>
          <w:szCs w:val="22"/>
        </w:rPr>
        <w:t xml:space="preserve">, </w:t>
      </w:r>
      <w:proofErr w:type="spellStart"/>
      <w:r w:rsidR="00CE7461">
        <w:rPr>
          <w:rFonts w:asciiTheme="minorHAnsi" w:hAnsiTheme="minorHAnsi" w:cstheme="minorHAnsi"/>
          <w:sz w:val="22"/>
          <w:szCs w:val="22"/>
        </w:rPr>
        <w:t>Edelbach</w:t>
      </w:r>
      <w:proofErr w:type="spellEnd"/>
      <w:r w:rsidR="00CE7461">
        <w:rPr>
          <w:rFonts w:asciiTheme="minorHAnsi" w:hAnsiTheme="minorHAnsi" w:cstheme="minorHAnsi"/>
          <w:sz w:val="22"/>
          <w:szCs w:val="22"/>
        </w:rPr>
        <w:t xml:space="preserve">, </w:t>
      </w:r>
      <w:r w:rsidR="00C73B21" w:rsidRPr="00500434">
        <w:rPr>
          <w:rFonts w:asciiTheme="minorHAnsi" w:hAnsiTheme="minorHAnsi" w:cstheme="minorHAnsi"/>
          <w:sz w:val="22"/>
          <w:szCs w:val="22"/>
        </w:rPr>
        <w:t xml:space="preserve">Farrell, </w:t>
      </w:r>
      <w:proofErr w:type="spellStart"/>
      <w:r w:rsidR="00C73B21" w:rsidRPr="00500434">
        <w:rPr>
          <w:rFonts w:asciiTheme="minorHAnsi" w:hAnsiTheme="minorHAnsi" w:cstheme="minorHAnsi"/>
          <w:sz w:val="22"/>
          <w:szCs w:val="22"/>
        </w:rPr>
        <w:t>Ghitulescu</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Gosselin</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Guarracino</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Heisler</w:t>
      </w:r>
      <w:proofErr w:type="spellEnd"/>
      <w:r w:rsidR="00C73B21" w:rsidRPr="00500434">
        <w:rPr>
          <w:rFonts w:asciiTheme="minorHAnsi" w:hAnsiTheme="minorHAnsi" w:cstheme="minorHAnsi"/>
          <w:sz w:val="22"/>
          <w:szCs w:val="22"/>
        </w:rPr>
        <w:t xml:space="preserve">, </w:t>
      </w:r>
      <w:proofErr w:type="spellStart"/>
      <w:r w:rsidR="00CE7461">
        <w:rPr>
          <w:rFonts w:asciiTheme="minorHAnsi" w:hAnsiTheme="minorHAnsi" w:cstheme="minorHAnsi"/>
          <w:sz w:val="22"/>
          <w:szCs w:val="22"/>
        </w:rPr>
        <w:t>Jaksch</w:t>
      </w:r>
      <w:proofErr w:type="spellEnd"/>
      <w:r w:rsidR="00CE7461">
        <w:rPr>
          <w:rFonts w:asciiTheme="minorHAnsi" w:hAnsiTheme="minorHAnsi" w:cstheme="minorHAnsi"/>
          <w:sz w:val="22"/>
          <w:szCs w:val="22"/>
        </w:rPr>
        <w:t>,</w:t>
      </w:r>
      <w:r w:rsidR="000E4AE3">
        <w:rPr>
          <w:rFonts w:asciiTheme="minorHAnsi" w:hAnsiTheme="minorHAnsi" w:cstheme="minorHAnsi"/>
          <w:sz w:val="22"/>
          <w:szCs w:val="22"/>
        </w:rPr>
        <w:t xml:space="preserve"> </w:t>
      </w:r>
      <w:proofErr w:type="spellStart"/>
      <w:r w:rsidR="000E4AE3">
        <w:rPr>
          <w:rFonts w:asciiTheme="minorHAnsi" w:hAnsiTheme="minorHAnsi" w:cstheme="minorHAnsi"/>
          <w:sz w:val="22"/>
          <w:szCs w:val="22"/>
        </w:rPr>
        <w:t>Jakubowski</w:t>
      </w:r>
      <w:proofErr w:type="spellEnd"/>
      <w:r w:rsidR="000E4AE3">
        <w:rPr>
          <w:rFonts w:asciiTheme="minorHAnsi" w:hAnsiTheme="minorHAnsi" w:cstheme="minorHAnsi"/>
          <w:sz w:val="22"/>
          <w:szCs w:val="22"/>
        </w:rPr>
        <w:t>,</w:t>
      </w:r>
      <w:r w:rsidR="00AE4226" w:rsidRPr="00AE4226">
        <w:rPr>
          <w:rFonts w:asciiTheme="minorHAnsi" w:hAnsiTheme="minorHAnsi" w:cstheme="minorHAnsi"/>
          <w:sz w:val="22"/>
          <w:szCs w:val="22"/>
        </w:rPr>
        <w:t xml:space="preserve"> </w:t>
      </w:r>
      <w:proofErr w:type="spellStart"/>
      <w:r w:rsidR="00AE4226">
        <w:rPr>
          <w:rFonts w:asciiTheme="minorHAnsi" w:hAnsiTheme="minorHAnsi" w:cstheme="minorHAnsi"/>
          <w:sz w:val="22"/>
          <w:szCs w:val="22"/>
        </w:rPr>
        <w:t>Landreau</w:t>
      </w:r>
      <w:proofErr w:type="spellEnd"/>
      <w:r w:rsidR="00AE4226">
        <w:rPr>
          <w:rFonts w:asciiTheme="minorHAnsi" w:hAnsiTheme="minorHAnsi" w:cstheme="minorHAnsi"/>
          <w:sz w:val="22"/>
          <w:szCs w:val="22"/>
        </w:rPr>
        <w:t xml:space="preserve">, </w:t>
      </w:r>
      <w:r w:rsidR="00CE7461">
        <w:rPr>
          <w:rFonts w:asciiTheme="minorHAnsi" w:hAnsiTheme="minorHAnsi" w:cstheme="minorHAnsi"/>
          <w:sz w:val="22"/>
          <w:szCs w:val="22"/>
        </w:rPr>
        <w:t xml:space="preserve"> </w:t>
      </w:r>
      <w:r w:rsidR="00C73B21" w:rsidRPr="00500434">
        <w:rPr>
          <w:rFonts w:asciiTheme="minorHAnsi" w:hAnsiTheme="minorHAnsi" w:cstheme="minorHAnsi"/>
          <w:sz w:val="22"/>
          <w:szCs w:val="22"/>
        </w:rPr>
        <w:t xml:space="preserve">Lovett, </w:t>
      </w:r>
      <w:proofErr w:type="spellStart"/>
      <w:r w:rsidR="00C73B21" w:rsidRPr="00500434">
        <w:rPr>
          <w:rFonts w:asciiTheme="minorHAnsi" w:hAnsiTheme="minorHAnsi" w:cstheme="minorHAnsi"/>
          <w:sz w:val="22"/>
          <w:szCs w:val="22"/>
        </w:rPr>
        <w:t>Martinovic</w:t>
      </w:r>
      <w:proofErr w:type="spellEnd"/>
      <w:r w:rsidR="00C73B21" w:rsidRPr="00500434">
        <w:rPr>
          <w:rFonts w:asciiTheme="minorHAnsi" w:hAnsiTheme="minorHAnsi" w:cstheme="minorHAnsi"/>
          <w:sz w:val="22"/>
          <w:szCs w:val="22"/>
        </w:rPr>
        <w:t xml:space="preserve">, McCarty, </w:t>
      </w:r>
      <w:proofErr w:type="spellStart"/>
      <w:r w:rsidR="00C73B21" w:rsidRPr="00500434">
        <w:rPr>
          <w:rFonts w:asciiTheme="minorHAnsi" w:hAnsiTheme="minorHAnsi" w:cstheme="minorHAnsi"/>
          <w:sz w:val="22"/>
          <w:szCs w:val="22"/>
        </w:rPr>
        <w:t>McGreevey</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Meixner</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Meola</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Mirtcheva</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Norvell</w:t>
      </w:r>
      <w:proofErr w:type="spellEnd"/>
      <w:r w:rsidR="00C73B21" w:rsidRPr="00500434">
        <w:rPr>
          <w:rFonts w:asciiTheme="minorHAnsi" w:hAnsiTheme="minorHAnsi" w:cstheme="minorHAnsi"/>
          <w:sz w:val="22"/>
          <w:szCs w:val="22"/>
        </w:rPr>
        <w:t xml:space="preserve">, Paces, </w:t>
      </w:r>
      <w:proofErr w:type="spellStart"/>
      <w:r w:rsidR="00CE7461">
        <w:rPr>
          <w:rFonts w:asciiTheme="minorHAnsi" w:hAnsiTheme="minorHAnsi" w:cstheme="minorHAnsi"/>
          <w:sz w:val="22"/>
          <w:szCs w:val="22"/>
        </w:rPr>
        <w:t>Paliwal</w:t>
      </w:r>
      <w:proofErr w:type="spellEnd"/>
      <w:r w:rsidR="00CE7461">
        <w:rPr>
          <w:rFonts w:asciiTheme="minorHAnsi" w:hAnsiTheme="minorHAnsi" w:cstheme="minorHAnsi"/>
          <w:sz w:val="22"/>
          <w:szCs w:val="22"/>
        </w:rPr>
        <w:t xml:space="preserve">, </w:t>
      </w:r>
      <w:proofErr w:type="spellStart"/>
      <w:r w:rsidR="00CE7461">
        <w:rPr>
          <w:rFonts w:asciiTheme="minorHAnsi" w:hAnsiTheme="minorHAnsi" w:cstheme="minorHAnsi"/>
          <w:sz w:val="22"/>
          <w:szCs w:val="22"/>
        </w:rPr>
        <w:t>Prensky</w:t>
      </w:r>
      <w:proofErr w:type="spellEnd"/>
      <w:r w:rsidR="00CE7461">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Salgian</w:t>
      </w:r>
      <w:proofErr w:type="spellEnd"/>
      <w:r w:rsidR="00C73B21" w:rsidRPr="00500434">
        <w:rPr>
          <w:rFonts w:asciiTheme="minorHAnsi" w:hAnsiTheme="minorHAnsi" w:cstheme="minorHAnsi"/>
          <w:sz w:val="22"/>
          <w:szCs w:val="22"/>
        </w:rPr>
        <w:t xml:space="preserve">, Steinberg, </w:t>
      </w:r>
      <w:r w:rsidR="00CE7461">
        <w:rPr>
          <w:rFonts w:asciiTheme="minorHAnsi" w:hAnsiTheme="minorHAnsi" w:cstheme="minorHAnsi"/>
          <w:sz w:val="22"/>
          <w:szCs w:val="22"/>
        </w:rPr>
        <w:t xml:space="preserve">van der </w:t>
      </w:r>
      <w:proofErr w:type="spellStart"/>
      <w:r w:rsidR="00CE7461">
        <w:rPr>
          <w:rFonts w:asciiTheme="minorHAnsi" w:hAnsiTheme="minorHAnsi" w:cstheme="minorHAnsi"/>
          <w:sz w:val="22"/>
          <w:szCs w:val="22"/>
        </w:rPr>
        <w:t>Heijden</w:t>
      </w:r>
      <w:proofErr w:type="spellEnd"/>
      <w:r w:rsidR="00CE7461">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Wiita</w:t>
      </w:r>
      <w:proofErr w:type="spellEnd"/>
      <w:r w:rsidR="00C73B21" w:rsidRPr="00500434">
        <w:rPr>
          <w:rFonts w:asciiTheme="minorHAnsi" w:hAnsiTheme="minorHAnsi" w:cstheme="minorHAnsi"/>
          <w:sz w:val="22"/>
          <w:szCs w:val="22"/>
        </w:rPr>
        <w:t>.</w:t>
      </w:r>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r w:rsidR="00C73B21" w:rsidRPr="00500434">
        <w:rPr>
          <w:rFonts w:asciiTheme="minorHAnsi" w:hAnsiTheme="minorHAnsi" w:cstheme="minorHAnsi"/>
          <w:sz w:val="22"/>
          <w:szCs w:val="22"/>
        </w:rPr>
        <w:t xml:space="preserve">Horst, </w:t>
      </w:r>
      <w:r w:rsidR="00CE7461">
        <w:rPr>
          <w:rFonts w:asciiTheme="minorHAnsi" w:hAnsiTheme="minorHAnsi" w:cstheme="minorHAnsi"/>
          <w:sz w:val="22"/>
          <w:szCs w:val="22"/>
        </w:rPr>
        <w:t>Hu, Li.</w:t>
      </w:r>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Pr="00500434">
        <w:rPr>
          <w:rFonts w:asciiTheme="minorHAnsi" w:hAnsiTheme="minorHAnsi" w:cstheme="minorHAnsi"/>
          <w:sz w:val="22"/>
          <w:szCs w:val="22"/>
        </w:rPr>
        <w:t xml:space="preserve"> Emmons</w:t>
      </w:r>
      <w:r w:rsidR="00CE7461">
        <w:rPr>
          <w:rFonts w:asciiTheme="minorHAnsi" w:hAnsiTheme="minorHAnsi" w:cstheme="minorHAnsi"/>
          <w:sz w:val="22"/>
          <w:szCs w:val="22"/>
        </w:rPr>
        <w:t xml:space="preserve">, </w:t>
      </w:r>
      <w:r w:rsidR="00A0269F">
        <w:rPr>
          <w:rFonts w:asciiTheme="minorHAnsi" w:hAnsiTheme="minorHAnsi" w:cstheme="minorHAnsi"/>
          <w:sz w:val="22"/>
          <w:szCs w:val="22"/>
        </w:rPr>
        <w:t xml:space="preserve">Haynes, </w:t>
      </w:r>
      <w:proofErr w:type="spellStart"/>
      <w:r w:rsidR="00A0269F">
        <w:rPr>
          <w:rFonts w:asciiTheme="minorHAnsi" w:hAnsiTheme="minorHAnsi" w:cstheme="minorHAnsi"/>
          <w:sz w:val="22"/>
          <w:szCs w:val="22"/>
        </w:rPr>
        <w:t>Holleran</w:t>
      </w:r>
      <w:proofErr w:type="spellEnd"/>
      <w:r w:rsidR="00A0269F">
        <w:rPr>
          <w:rFonts w:asciiTheme="minorHAnsi" w:hAnsiTheme="minorHAnsi" w:cstheme="minorHAnsi"/>
          <w:sz w:val="22"/>
          <w:szCs w:val="22"/>
        </w:rPr>
        <w:t xml:space="preserve">, </w:t>
      </w:r>
      <w:r w:rsidR="00CE7461">
        <w:rPr>
          <w:rFonts w:asciiTheme="minorHAnsi" w:hAnsiTheme="minorHAnsi" w:cstheme="minorHAnsi"/>
          <w:sz w:val="22"/>
          <w:szCs w:val="22"/>
        </w:rPr>
        <w:t xml:space="preserve"> Robertson</w:t>
      </w:r>
      <w:r w:rsidRPr="00500434">
        <w:rPr>
          <w:rFonts w:asciiTheme="minorHAnsi" w:hAnsiTheme="minorHAnsi" w:cstheme="minorHAnsi"/>
          <w:sz w:val="22"/>
          <w:szCs w:val="22"/>
        </w:rPr>
        <w:t>.</w:t>
      </w:r>
    </w:p>
    <w:p w:rsidR="00807E21" w:rsidRPr="00500434" w:rsidRDefault="00807E21" w:rsidP="00CA7C8D">
      <w:pPr>
        <w:rPr>
          <w:rFonts w:asciiTheme="minorHAnsi" w:hAnsiTheme="minorHAnsi" w:cstheme="minorHAnsi"/>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CA7C8D" w:rsidRPr="00500434" w:rsidRDefault="00CE7461" w:rsidP="00CA7C8D">
      <w:pPr>
        <w:rPr>
          <w:rFonts w:asciiTheme="minorHAnsi" w:hAnsiTheme="minorHAnsi" w:cstheme="minorHAnsi"/>
          <w:sz w:val="22"/>
          <w:szCs w:val="22"/>
        </w:rPr>
      </w:pPr>
      <w:r>
        <w:rPr>
          <w:rFonts w:asciiTheme="minorHAnsi" w:hAnsiTheme="minorHAnsi" w:cstheme="minorHAnsi"/>
          <w:sz w:val="22"/>
          <w:szCs w:val="22"/>
        </w:rPr>
        <w:t>The</w:t>
      </w:r>
      <w:r w:rsidR="00C73B21" w:rsidRPr="00500434">
        <w:rPr>
          <w:rFonts w:asciiTheme="minorHAnsi" w:hAnsiTheme="minorHAnsi" w:cstheme="minorHAnsi"/>
          <w:sz w:val="22"/>
          <w:szCs w:val="22"/>
        </w:rPr>
        <w:t xml:space="preserve"> minutes were approved unanimously.</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636494" w:rsidRPr="00500434" w:rsidRDefault="00C73B21" w:rsidP="00636494">
      <w:pPr>
        <w:pStyle w:val="ListParagraph"/>
        <w:numPr>
          <w:ilvl w:val="0"/>
          <w:numId w:val="16"/>
        </w:numPr>
        <w:rPr>
          <w:rFonts w:asciiTheme="minorHAnsi" w:hAnsiTheme="minorHAnsi" w:cstheme="minorHAnsi"/>
          <w:sz w:val="22"/>
          <w:szCs w:val="22"/>
        </w:rPr>
      </w:pPr>
      <w:r w:rsidRPr="00500434">
        <w:rPr>
          <w:rFonts w:asciiTheme="minorHAnsi" w:hAnsiTheme="minorHAnsi" w:cstheme="minorHAnsi"/>
          <w:sz w:val="22"/>
          <w:szCs w:val="22"/>
        </w:rPr>
        <w:t xml:space="preserve">Cindy introduced a visitor to the senate, </w:t>
      </w:r>
      <w:proofErr w:type="spellStart"/>
      <w:r w:rsidR="00CE7461">
        <w:rPr>
          <w:rFonts w:asciiTheme="minorHAnsi" w:hAnsiTheme="minorHAnsi" w:cstheme="minorHAnsi"/>
          <w:sz w:val="22"/>
          <w:szCs w:val="22"/>
        </w:rPr>
        <w:t>Mose</w:t>
      </w:r>
      <w:r w:rsidR="00AE4226">
        <w:rPr>
          <w:rFonts w:asciiTheme="minorHAnsi" w:hAnsiTheme="minorHAnsi" w:cstheme="minorHAnsi"/>
          <w:sz w:val="22"/>
          <w:szCs w:val="22"/>
        </w:rPr>
        <w:t>n</w:t>
      </w:r>
      <w:proofErr w:type="spellEnd"/>
      <w:r w:rsidR="00CE7461">
        <w:rPr>
          <w:rFonts w:asciiTheme="minorHAnsi" w:hAnsiTheme="minorHAnsi" w:cstheme="minorHAnsi"/>
          <w:sz w:val="22"/>
          <w:szCs w:val="22"/>
        </w:rPr>
        <w:t xml:space="preserve"> </w:t>
      </w:r>
      <w:proofErr w:type="spellStart"/>
      <w:r w:rsidR="00CE7461">
        <w:rPr>
          <w:rFonts w:asciiTheme="minorHAnsi" w:hAnsiTheme="minorHAnsi" w:cstheme="minorHAnsi"/>
          <w:sz w:val="22"/>
          <w:szCs w:val="22"/>
        </w:rPr>
        <w:t>Auryan</w:t>
      </w:r>
      <w:proofErr w:type="spellEnd"/>
      <w:r w:rsidR="00CE7461">
        <w:rPr>
          <w:rFonts w:asciiTheme="minorHAnsi" w:hAnsiTheme="minorHAnsi" w:cstheme="minorHAnsi"/>
          <w:sz w:val="22"/>
          <w:szCs w:val="22"/>
        </w:rPr>
        <w:t>, the Assistant Provost for Institutional Effectiveness who gave a brief overview of himself, his background, and his new position</w:t>
      </w:r>
      <w:r w:rsidRPr="00500434">
        <w:rPr>
          <w:rFonts w:asciiTheme="minorHAnsi" w:hAnsiTheme="minorHAnsi" w:cstheme="minorHAnsi"/>
          <w:sz w:val="22"/>
          <w:szCs w:val="22"/>
        </w:rPr>
        <w:t>.</w:t>
      </w:r>
    </w:p>
    <w:p w:rsidR="00F348C6" w:rsidRDefault="00CE7461"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November 6</w:t>
      </w:r>
      <w:r w:rsidRPr="00CE7461">
        <w:rPr>
          <w:rFonts w:asciiTheme="minorHAnsi" w:hAnsiTheme="minorHAnsi" w:cstheme="minorHAnsi"/>
          <w:sz w:val="22"/>
          <w:szCs w:val="22"/>
          <w:vertAlign w:val="superscript"/>
        </w:rPr>
        <w:t>th</w:t>
      </w:r>
      <w:r>
        <w:rPr>
          <w:rFonts w:asciiTheme="minorHAnsi" w:hAnsiTheme="minorHAnsi" w:cstheme="minorHAnsi"/>
          <w:sz w:val="22"/>
          <w:szCs w:val="22"/>
        </w:rPr>
        <w:t xml:space="preserve"> is the Faculty Senate Colloquium at noon with Andy </w:t>
      </w:r>
      <w:proofErr w:type="spellStart"/>
      <w:r>
        <w:rPr>
          <w:rFonts w:asciiTheme="minorHAnsi" w:hAnsiTheme="minorHAnsi" w:cstheme="minorHAnsi"/>
          <w:sz w:val="22"/>
          <w:szCs w:val="22"/>
        </w:rPr>
        <w:t>Leynes</w:t>
      </w:r>
      <w:proofErr w:type="spellEnd"/>
      <w:r>
        <w:rPr>
          <w:rFonts w:asciiTheme="minorHAnsi" w:hAnsiTheme="minorHAnsi" w:cstheme="minorHAnsi"/>
          <w:sz w:val="22"/>
          <w:szCs w:val="22"/>
        </w:rPr>
        <w:t xml:space="preserve">. </w:t>
      </w:r>
      <w:r w:rsidR="00AE4226">
        <w:rPr>
          <w:rFonts w:asciiTheme="minorHAnsi" w:hAnsiTheme="minorHAnsi" w:cstheme="minorHAnsi"/>
          <w:sz w:val="22"/>
          <w:szCs w:val="22"/>
        </w:rPr>
        <w:t xml:space="preserve">On </w:t>
      </w:r>
      <w:r>
        <w:rPr>
          <w:rFonts w:asciiTheme="minorHAnsi" w:hAnsiTheme="minorHAnsi" w:cstheme="minorHAnsi"/>
          <w:sz w:val="22"/>
          <w:szCs w:val="22"/>
        </w:rPr>
        <w:t>January 29</w:t>
      </w:r>
      <w:r w:rsidRPr="00CE7461">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AE4226">
        <w:rPr>
          <w:rFonts w:asciiTheme="minorHAnsi" w:hAnsiTheme="minorHAnsi" w:cstheme="minorHAnsi"/>
          <w:sz w:val="22"/>
          <w:szCs w:val="22"/>
        </w:rPr>
        <w:t xml:space="preserve">at noon </w:t>
      </w:r>
      <w:r>
        <w:rPr>
          <w:rFonts w:asciiTheme="minorHAnsi" w:hAnsiTheme="minorHAnsi" w:cstheme="minorHAnsi"/>
          <w:sz w:val="22"/>
          <w:szCs w:val="22"/>
        </w:rPr>
        <w:t>the provost will address the faculty (Education 212).</w:t>
      </w:r>
    </w:p>
    <w:p w:rsidR="00CE7461" w:rsidRPr="00500434" w:rsidRDefault="00CE7461"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AFT meeting is at 3:00 today. They’ll be discussing sabbatical leaves, 5-year review, career development, etc.</w:t>
      </w:r>
    </w:p>
    <w:p w:rsidR="001E505F" w:rsidRPr="00500434" w:rsidRDefault="001E505F" w:rsidP="001E505F">
      <w:pPr>
        <w:rPr>
          <w:rFonts w:asciiTheme="minorHAnsi" w:hAnsiTheme="minorHAnsi" w:cstheme="minorHAnsi"/>
          <w:sz w:val="22"/>
          <w:szCs w:val="22"/>
        </w:rPr>
      </w:pPr>
    </w:p>
    <w:p w:rsidR="001E505F" w:rsidRPr="00500434" w:rsidRDefault="007B5558" w:rsidP="001E505F">
      <w:pPr>
        <w:rPr>
          <w:rFonts w:asciiTheme="minorHAnsi" w:hAnsiTheme="minorHAnsi" w:cstheme="minorHAnsi"/>
          <w:b/>
          <w:sz w:val="22"/>
          <w:szCs w:val="22"/>
        </w:rPr>
      </w:pPr>
      <w:r>
        <w:rPr>
          <w:rFonts w:asciiTheme="minorHAnsi" w:hAnsiTheme="minorHAnsi" w:cstheme="minorHAnsi"/>
          <w:b/>
          <w:sz w:val="22"/>
          <w:szCs w:val="22"/>
        </w:rPr>
        <w:t>PROPOSED CONSTITUTIONAL AMENDMENT</w:t>
      </w:r>
    </w:p>
    <w:p w:rsidR="00BC2AF7" w:rsidRDefault="007B5558" w:rsidP="001E505F">
      <w:pPr>
        <w:rPr>
          <w:rFonts w:asciiTheme="minorHAnsi" w:hAnsiTheme="minorHAnsi" w:cstheme="minorHAnsi"/>
          <w:sz w:val="22"/>
          <w:szCs w:val="22"/>
        </w:rPr>
      </w:pPr>
      <w:r>
        <w:rPr>
          <w:rFonts w:asciiTheme="minorHAnsi" w:hAnsiTheme="minorHAnsi" w:cstheme="minorHAnsi"/>
          <w:sz w:val="22"/>
          <w:szCs w:val="22"/>
        </w:rPr>
        <w:t xml:space="preserve">Cindy reviewed the </w:t>
      </w:r>
      <w:r w:rsidR="00BC2AF7">
        <w:rPr>
          <w:rFonts w:asciiTheme="minorHAnsi" w:hAnsiTheme="minorHAnsi" w:cstheme="minorHAnsi"/>
          <w:sz w:val="22"/>
          <w:szCs w:val="22"/>
        </w:rPr>
        <w:t xml:space="preserve">proposed </w:t>
      </w:r>
      <w:r>
        <w:rPr>
          <w:rFonts w:asciiTheme="minorHAnsi" w:hAnsiTheme="minorHAnsi" w:cstheme="minorHAnsi"/>
          <w:sz w:val="22"/>
          <w:szCs w:val="22"/>
        </w:rPr>
        <w:t>amendment to the senate constitution</w:t>
      </w:r>
      <w:r w:rsidR="00BC2AF7">
        <w:rPr>
          <w:rFonts w:asciiTheme="minorHAnsi" w:hAnsiTheme="minorHAnsi" w:cstheme="minorHAnsi"/>
          <w:sz w:val="22"/>
          <w:szCs w:val="22"/>
        </w:rPr>
        <w:t xml:space="preserve"> put forward by the Faculty Senate Executive Board as follows:</w:t>
      </w:r>
    </w:p>
    <w:p w:rsidR="00BC2AF7" w:rsidRDefault="00BC2AF7" w:rsidP="001E505F">
      <w:pPr>
        <w:rPr>
          <w:rFonts w:asciiTheme="minorHAnsi" w:hAnsiTheme="minorHAnsi" w:cstheme="minorHAnsi"/>
          <w:sz w:val="22"/>
          <w:szCs w:val="22"/>
        </w:rPr>
      </w:pPr>
    </w:p>
    <w:p w:rsidR="00BC2AF7" w:rsidRPr="00BC2AF7" w:rsidRDefault="00BC2AF7" w:rsidP="00BC2AF7">
      <w:pPr>
        <w:ind w:left="432"/>
        <w:rPr>
          <w:rFonts w:asciiTheme="minorHAnsi" w:hAnsiTheme="minorHAnsi" w:cstheme="minorHAnsi"/>
          <w:sz w:val="22"/>
          <w:szCs w:val="22"/>
        </w:rPr>
      </w:pPr>
      <w:r w:rsidRPr="00BC2AF7">
        <w:rPr>
          <w:rFonts w:asciiTheme="minorHAnsi" w:hAnsiTheme="minorHAnsi" w:cstheme="minorHAnsi"/>
          <w:sz w:val="22"/>
          <w:szCs w:val="22"/>
        </w:rPr>
        <w:t>Article II.I of the Senate Constitution states:</w:t>
      </w:r>
    </w:p>
    <w:p w:rsidR="00BC2AF7" w:rsidRPr="00BC2AF7" w:rsidRDefault="00BC2AF7" w:rsidP="00BC2AF7">
      <w:pPr>
        <w:ind w:left="432"/>
        <w:rPr>
          <w:rFonts w:asciiTheme="minorHAnsi" w:hAnsiTheme="minorHAnsi" w:cstheme="minorHAnsi"/>
          <w:sz w:val="22"/>
          <w:szCs w:val="22"/>
        </w:rPr>
      </w:pPr>
    </w:p>
    <w:p w:rsidR="00BC2AF7" w:rsidRPr="00BC2AF7" w:rsidRDefault="00BC2AF7" w:rsidP="00BC2AF7">
      <w:pPr>
        <w:ind w:left="432"/>
        <w:rPr>
          <w:rFonts w:asciiTheme="minorHAnsi" w:hAnsiTheme="minorHAnsi" w:cstheme="minorHAnsi"/>
          <w:sz w:val="22"/>
          <w:szCs w:val="22"/>
        </w:rPr>
      </w:pPr>
      <w:r w:rsidRPr="00BC2AF7">
        <w:rPr>
          <w:rFonts w:asciiTheme="minorHAnsi" w:hAnsiTheme="minorHAnsi" w:cstheme="minorHAnsi"/>
          <w:sz w:val="22"/>
          <w:szCs w:val="22"/>
        </w:rPr>
        <w:t>The Faculty Senate is responsible for appointing faculty representatives to Standing Committees and Program Councils.   It is responsible for making recommendations to the President for faculty representatives to Planning Councils.”</w:t>
      </w:r>
    </w:p>
    <w:p w:rsidR="00BC2AF7" w:rsidRPr="00BC2AF7" w:rsidRDefault="00BC2AF7" w:rsidP="00BC2AF7">
      <w:pPr>
        <w:ind w:left="432"/>
        <w:rPr>
          <w:rFonts w:asciiTheme="minorHAnsi" w:hAnsiTheme="minorHAnsi" w:cstheme="minorHAnsi"/>
          <w:sz w:val="22"/>
          <w:szCs w:val="22"/>
        </w:rPr>
      </w:pPr>
    </w:p>
    <w:p w:rsidR="00BC2AF7" w:rsidRPr="00BC2AF7" w:rsidRDefault="00BC2AF7" w:rsidP="00BC2AF7">
      <w:pPr>
        <w:ind w:left="432"/>
        <w:rPr>
          <w:rFonts w:asciiTheme="minorHAnsi" w:hAnsiTheme="minorHAnsi" w:cstheme="minorHAnsi"/>
          <w:sz w:val="22"/>
          <w:szCs w:val="22"/>
        </w:rPr>
      </w:pPr>
      <w:r w:rsidRPr="00BC2AF7">
        <w:rPr>
          <w:rFonts w:asciiTheme="minorHAnsi" w:hAnsiTheme="minorHAnsi" w:cstheme="minorHAnsi"/>
          <w:sz w:val="22"/>
          <w:szCs w:val="22"/>
        </w:rPr>
        <w:t>Section 7B of the Governance Document, however, states:</w:t>
      </w:r>
    </w:p>
    <w:p w:rsidR="00BC2AF7" w:rsidRPr="00BC2AF7" w:rsidRDefault="00BC2AF7" w:rsidP="00BC2AF7">
      <w:pPr>
        <w:ind w:left="432"/>
        <w:rPr>
          <w:rFonts w:asciiTheme="minorHAnsi" w:hAnsiTheme="minorHAnsi" w:cstheme="minorHAnsi"/>
          <w:sz w:val="22"/>
          <w:szCs w:val="22"/>
        </w:rPr>
      </w:pPr>
    </w:p>
    <w:p w:rsidR="00BC2AF7" w:rsidRPr="00BC2AF7" w:rsidRDefault="00BC2AF7" w:rsidP="00BC2AF7">
      <w:pPr>
        <w:ind w:left="432"/>
        <w:rPr>
          <w:rFonts w:asciiTheme="minorHAnsi" w:hAnsiTheme="minorHAnsi" w:cstheme="minorHAnsi"/>
          <w:sz w:val="22"/>
          <w:szCs w:val="22"/>
        </w:rPr>
      </w:pPr>
      <w:r w:rsidRPr="00BC2AF7">
        <w:rPr>
          <w:rFonts w:asciiTheme="minorHAnsi" w:hAnsiTheme="minorHAnsi" w:cstheme="minorHAnsi"/>
          <w:sz w:val="22"/>
          <w:szCs w:val="22"/>
        </w:rPr>
        <w:t>“Each planning council will have members representing the faculty, staff, and students, appointed by the Faculty Senate, the Staff Senate, and Student Government.”</w:t>
      </w:r>
    </w:p>
    <w:p w:rsidR="00BC2AF7" w:rsidRPr="00BC2AF7" w:rsidRDefault="00BC2AF7" w:rsidP="00BC2AF7">
      <w:pPr>
        <w:ind w:left="432"/>
        <w:rPr>
          <w:rFonts w:asciiTheme="minorHAnsi" w:hAnsiTheme="minorHAnsi" w:cstheme="minorHAnsi"/>
          <w:sz w:val="22"/>
          <w:szCs w:val="22"/>
        </w:rPr>
      </w:pPr>
    </w:p>
    <w:p w:rsidR="00BC2AF7" w:rsidRPr="00BC2AF7" w:rsidRDefault="00BC2AF7" w:rsidP="00BC2AF7">
      <w:pPr>
        <w:ind w:left="432"/>
        <w:rPr>
          <w:rFonts w:asciiTheme="minorHAnsi" w:hAnsiTheme="minorHAnsi" w:cstheme="minorHAnsi"/>
          <w:sz w:val="22"/>
          <w:szCs w:val="22"/>
        </w:rPr>
      </w:pPr>
      <w:r w:rsidRPr="00BC2AF7">
        <w:rPr>
          <w:rFonts w:asciiTheme="minorHAnsi" w:hAnsiTheme="minorHAnsi" w:cstheme="minorHAnsi"/>
          <w:sz w:val="22"/>
          <w:szCs w:val="22"/>
        </w:rPr>
        <w:t>In order to bring these two documents into agreement, the following amendment to the Senate Constitution is proposed:</w:t>
      </w:r>
    </w:p>
    <w:p w:rsidR="00BC2AF7" w:rsidRPr="00BC2AF7" w:rsidRDefault="00BC2AF7" w:rsidP="00BC2AF7">
      <w:pPr>
        <w:ind w:left="432"/>
        <w:rPr>
          <w:rFonts w:asciiTheme="minorHAnsi" w:hAnsiTheme="minorHAnsi" w:cstheme="minorHAnsi"/>
          <w:sz w:val="22"/>
          <w:szCs w:val="22"/>
        </w:rPr>
      </w:pPr>
    </w:p>
    <w:p w:rsidR="00BC2AF7" w:rsidRPr="00BC2AF7" w:rsidRDefault="00BC2AF7" w:rsidP="00BC2AF7">
      <w:pPr>
        <w:ind w:left="432"/>
        <w:rPr>
          <w:rFonts w:asciiTheme="minorHAnsi" w:hAnsiTheme="minorHAnsi" w:cstheme="minorHAnsi"/>
          <w:sz w:val="22"/>
          <w:szCs w:val="22"/>
        </w:rPr>
      </w:pPr>
      <w:r w:rsidRPr="00BC2AF7">
        <w:rPr>
          <w:rFonts w:asciiTheme="minorHAnsi" w:hAnsiTheme="minorHAnsi" w:cstheme="minorHAnsi"/>
          <w:sz w:val="22"/>
          <w:szCs w:val="22"/>
        </w:rPr>
        <w:t>Change the above section of Article II.I to read the following:</w:t>
      </w:r>
    </w:p>
    <w:p w:rsidR="00BC2AF7" w:rsidRPr="00BC2AF7" w:rsidRDefault="00BC2AF7" w:rsidP="00BC2AF7">
      <w:pPr>
        <w:ind w:left="432"/>
        <w:rPr>
          <w:rFonts w:asciiTheme="minorHAnsi" w:hAnsiTheme="minorHAnsi" w:cstheme="minorHAnsi"/>
          <w:sz w:val="22"/>
          <w:szCs w:val="22"/>
        </w:rPr>
      </w:pPr>
    </w:p>
    <w:p w:rsidR="00BC2AF7" w:rsidRPr="00BC2AF7" w:rsidRDefault="00BC2AF7" w:rsidP="00BC2AF7">
      <w:pPr>
        <w:ind w:left="432"/>
        <w:rPr>
          <w:rFonts w:asciiTheme="minorHAnsi" w:hAnsiTheme="minorHAnsi" w:cstheme="minorHAnsi"/>
          <w:sz w:val="22"/>
          <w:szCs w:val="22"/>
        </w:rPr>
      </w:pPr>
      <w:r w:rsidRPr="00BC2AF7">
        <w:rPr>
          <w:rFonts w:asciiTheme="minorHAnsi" w:hAnsiTheme="minorHAnsi" w:cstheme="minorHAnsi"/>
          <w:sz w:val="22"/>
          <w:szCs w:val="22"/>
        </w:rPr>
        <w:t>“The Faculty Senate is responsible for appointing faculty representatives to Standing Committees, Planning Councils, and Program Councils.”</w:t>
      </w:r>
    </w:p>
    <w:p w:rsidR="00BC2AF7" w:rsidRDefault="00BC2AF7" w:rsidP="001E505F">
      <w:pPr>
        <w:rPr>
          <w:rFonts w:asciiTheme="minorHAnsi" w:hAnsiTheme="minorHAnsi" w:cstheme="minorHAnsi"/>
          <w:sz w:val="22"/>
          <w:szCs w:val="22"/>
        </w:rPr>
      </w:pPr>
    </w:p>
    <w:p w:rsidR="00BC2AF7" w:rsidRDefault="00BC2AF7" w:rsidP="001E505F">
      <w:pPr>
        <w:rPr>
          <w:rFonts w:asciiTheme="minorHAnsi" w:hAnsiTheme="minorHAnsi" w:cstheme="minorHAnsi"/>
          <w:sz w:val="22"/>
          <w:szCs w:val="22"/>
        </w:rPr>
      </w:pPr>
    </w:p>
    <w:p w:rsidR="00BC2AF7" w:rsidRDefault="00BC2AF7" w:rsidP="001E505F">
      <w:pPr>
        <w:rPr>
          <w:rFonts w:asciiTheme="minorHAnsi" w:hAnsiTheme="minorHAnsi" w:cstheme="minorHAnsi"/>
          <w:sz w:val="22"/>
          <w:szCs w:val="22"/>
        </w:rPr>
      </w:pPr>
    </w:p>
    <w:p w:rsidR="00BC2AF7" w:rsidRDefault="00BC2AF7" w:rsidP="001E505F">
      <w:pPr>
        <w:rPr>
          <w:rFonts w:asciiTheme="minorHAnsi" w:hAnsiTheme="minorHAnsi" w:cstheme="minorHAnsi"/>
          <w:sz w:val="22"/>
          <w:szCs w:val="22"/>
        </w:rPr>
      </w:pPr>
    </w:p>
    <w:p w:rsidR="00F348C6" w:rsidRPr="00500434" w:rsidRDefault="00BC2AF7" w:rsidP="001E505F">
      <w:pPr>
        <w:rPr>
          <w:rFonts w:asciiTheme="minorHAnsi" w:hAnsiTheme="minorHAnsi" w:cstheme="minorHAnsi"/>
          <w:sz w:val="22"/>
          <w:szCs w:val="22"/>
        </w:rPr>
      </w:pPr>
      <w:r>
        <w:rPr>
          <w:rFonts w:asciiTheme="minorHAnsi" w:hAnsiTheme="minorHAnsi" w:cstheme="minorHAnsi"/>
          <w:sz w:val="22"/>
          <w:szCs w:val="22"/>
        </w:rPr>
        <w:lastRenderedPageBreak/>
        <w:t>The amendment p</w:t>
      </w:r>
      <w:r w:rsidR="007B5558">
        <w:rPr>
          <w:rFonts w:asciiTheme="minorHAnsi" w:hAnsiTheme="minorHAnsi" w:cstheme="minorHAnsi"/>
          <w:sz w:val="22"/>
          <w:szCs w:val="22"/>
        </w:rPr>
        <w:t xml:space="preserve">assed unanimously. </w:t>
      </w:r>
    </w:p>
    <w:p w:rsidR="001E505F" w:rsidRPr="00500434" w:rsidRDefault="001E505F" w:rsidP="001E505F">
      <w:pPr>
        <w:rPr>
          <w:rFonts w:asciiTheme="minorHAnsi" w:hAnsiTheme="minorHAnsi" w:cstheme="minorHAnsi"/>
          <w:sz w:val="22"/>
          <w:szCs w:val="22"/>
        </w:rPr>
      </w:pPr>
    </w:p>
    <w:p w:rsidR="001E505F" w:rsidRPr="00500434" w:rsidRDefault="007B5558" w:rsidP="001E505F">
      <w:pPr>
        <w:rPr>
          <w:rFonts w:asciiTheme="minorHAnsi" w:hAnsiTheme="minorHAnsi" w:cstheme="minorHAnsi"/>
          <w:b/>
          <w:sz w:val="22"/>
          <w:szCs w:val="22"/>
        </w:rPr>
      </w:pPr>
      <w:r>
        <w:rPr>
          <w:rFonts w:asciiTheme="minorHAnsi" w:hAnsiTheme="minorHAnsi" w:cstheme="minorHAnsi"/>
          <w:b/>
          <w:sz w:val="22"/>
          <w:szCs w:val="22"/>
        </w:rPr>
        <w:t>PANEL: BLENDED LEARNING</w:t>
      </w:r>
    </w:p>
    <w:p w:rsidR="00F348C6" w:rsidRPr="00500434" w:rsidRDefault="00BC2AF7" w:rsidP="001E505F">
      <w:pPr>
        <w:rPr>
          <w:rFonts w:asciiTheme="minorHAnsi" w:hAnsiTheme="minorHAnsi" w:cstheme="minorHAnsi"/>
          <w:sz w:val="22"/>
          <w:szCs w:val="22"/>
        </w:rPr>
      </w:pPr>
      <w:r>
        <w:rPr>
          <w:rFonts w:asciiTheme="minorHAnsi" w:hAnsiTheme="minorHAnsi" w:cstheme="minorHAnsi"/>
          <w:sz w:val="22"/>
          <w:szCs w:val="22"/>
        </w:rPr>
        <w:t xml:space="preserve">Jody </w:t>
      </w:r>
      <w:proofErr w:type="spellStart"/>
      <w:r>
        <w:rPr>
          <w:rFonts w:asciiTheme="minorHAnsi" w:hAnsiTheme="minorHAnsi" w:cstheme="minorHAnsi"/>
          <w:sz w:val="22"/>
          <w:szCs w:val="22"/>
        </w:rPr>
        <w:t>Eberly</w:t>
      </w:r>
      <w:proofErr w:type="spellEnd"/>
      <w:r>
        <w:rPr>
          <w:rFonts w:asciiTheme="minorHAnsi" w:hAnsiTheme="minorHAnsi" w:cstheme="minorHAnsi"/>
          <w:sz w:val="22"/>
          <w:szCs w:val="22"/>
        </w:rPr>
        <w:t xml:space="preserve"> introduced the four faculty members on the Blended Learning Panel: </w:t>
      </w:r>
      <w:proofErr w:type="spellStart"/>
      <w:r>
        <w:rPr>
          <w:rFonts w:asciiTheme="minorHAnsi" w:hAnsiTheme="minorHAnsi" w:cstheme="minorHAnsi"/>
          <w:sz w:val="22"/>
          <w:szCs w:val="22"/>
        </w:rPr>
        <w:t>Farshid</w:t>
      </w:r>
      <w:proofErr w:type="spellEnd"/>
      <w:r>
        <w:rPr>
          <w:rFonts w:asciiTheme="minorHAnsi" w:hAnsiTheme="minorHAnsi" w:cstheme="minorHAnsi"/>
          <w:sz w:val="22"/>
          <w:szCs w:val="22"/>
        </w:rPr>
        <w:t xml:space="preserve"> Safi (Mathematics &amp; Statistics); Gary Fienberg (Music); Marla </w:t>
      </w:r>
      <w:proofErr w:type="spellStart"/>
      <w:r>
        <w:rPr>
          <w:rFonts w:asciiTheme="minorHAnsi" w:hAnsiTheme="minorHAnsi" w:cstheme="minorHAnsi"/>
          <w:sz w:val="22"/>
          <w:szCs w:val="22"/>
        </w:rPr>
        <w:t>Jaksch</w:t>
      </w:r>
      <w:proofErr w:type="spellEnd"/>
      <w:r>
        <w:rPr>
          <w:rFonts w:asciiTheme="minorHAnsi" w:hAnsiTheme="minorHAnsi" w:cstheme="minorHAnsi"/>
          <w:sz w:val="22"/>
          <w:szCs w:val="22"/>
        </w:rPr>
        <w:t xml:space="preserve"> (Women’s &amp; Gender Studies); and Jill Bush-Wallace (Health &amp; Exercise Science).</w:t>
      </w:r>
    </w:p>
    <w:p w:rsidR="00692D14" w:rsidRPr="00500434" w:rsidRDefault="00692D14" w:rsidP="001E505F">
      <w:pPr>
        <w:rPr>
          <w:rFonts w:asciiTheme="minorHAnsi" w:hAnsiTheme="minorHAnsi" w:cstheme="minorHAnsi"/>
          <w:sz w:val="22"/>
          <w:szCs w:val="22"/>
        </w:rPr>
      </w:pPr>
    </w:p>
    <w:p w:rsidR="00873A63" w:rsidRDefault="00BC2AF7" w:rsidP="001E505F">
      <w:pPr>
        <w:rPr>
          <w:rFonts w:asciiTheme="minorHAnsi" w:hAnsiTheme="minorHAnsi" w:cstheme="minorHAnsi"/>
          <w:sz w:val="22"/>
          <w:szCs w:val="22"/>
        </w:rPr>
      </w:pPr>
      <w:r>
        <w:rPr>
          <w:rFonts w:asciiTheme="minorHAnsi" w:hAnsiTheme="minorHAnsi" w:cstheme="minorHAnsi"/>
          <w:sz w:val="22"/>
          <w:szCs w:val="22"/>
        </w:rPr>
        <w:t>The panelists were given 4 questions to consider from the committee:</w:t>
      </w:r>
    </w:p>
    <w:p w:rsidR="00BC2AF7" w:rsidRDefault="00BC2AF7" w:rsidP="001E505F">
      <w:pPr>
        <w:rPr>
          <w:rFonts w:asciiTheme="minorHAnsi" w:hAnsiTheme="minorHAnsi" w:cstheme="minorHAnsi"/>
          <w:sz w:val="22"/>
          <w:szCs w:val="22"/>
        </w:rPr>
      </w:pPr>
    </w:p>
    <w:p w:rsidR="00BC2AF7" w:rsidRDefault="00BC2AF7" w:rsidP="00BC2AF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How do you define blended learning?</w:t>
      </w:r>
    </w:p>
    <w:p w:rsidR="00BC2AF7" w:rsidRDefault="00BC2AF7" w:rsidP="00BC2AF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What do you see as the benefits and challenges of blended learning for both instructors and students?</w:t>
      </w:r>
    </w:p>
    <w:p w:rsidR="00BC2AF7" w:rsidRDefault="00BC2AF7" w:rsidP="00BC2AF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Would you consider doing blended learning again?</w:t>
      </w:r>
    </w:p>
    <w:p w:rsidR="00BC2AF7" w:rsidRDefault="00BC2AF7" w:rsidP="00BC2AF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What kind of courses/materials are bet for the blended-learning format?</w:t>
      </w:r>
    </w:p>
    <w:p w:rsidR="00BC2AF7" w:rsidRDefault="00BC2AF7" w:rsidP="00BC2AF7">
      <w:pPr>
        <w:rPr>
          <w:rFonts w:asciiTheme="minorHAnsi" w:hAnsiTheme="minorHAnsi" w:cstheme="minorHAnsi"/>
          <w:sz w:val="22"/>
          <w:szCs w:val="22"/>
        </w:rPr>
      </w:pPr>
    </w:p>
    <w:p w:rsidR="00BC2AF7" w:rsidRDefault="00BC2AF7" w:rsidP="00BC2AF7">
      <w:pPr>
        <w:rPr>
          <w:rFonts w:asciiTheme="minorHAnsi" w:hAnsiTheme="minorHAnsi" w:cstheme="minorHAnsi"/>
          <w:sz w:val="22"/>
          <w:szCs w:val="22"/>
        </w:rPr>
      </w:pPr>
      <w:r>
        <w:rPr>
          <w:rFonts w:asciiTheme="minorHAnsi" w:hAnsiTheme="minorHAnsi" w:cstheme="minorHAnsi"/>
          <w:sz w:val="22"/>
          <w:szCs w:val="22"/>
        </w:rPr>
        <w:t>After the panelists addressed the 4 questions, there was a general discussion and additional questions posed by the senate members.</w:t>
      </w:r>
    </w:p>
    <w:p w:rsidR="00692D14" w:rsidRPr="00500434" w:rsidRDefault="00692D14" w:rsidP="001E505F">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4311D4" w:rsidRPr="004311D4" w:rsidRDefault="00C66420" w:rsidP="004311D4">
      <w:pPr>
        <w:pStyle w:val="ListParagraph"/>
        <w:numPr>
          <w:ilvl w:val="0"/>
          <w:numId w:val="22"/>
        </w:numPr>
        <w:rPr>
          <w:rFonts w:asciiTheme="minorHAnsi" w:hAnsiTheme="minorHAnsi" w:cstheme="minorHAnsi"/>
          <w:sz w:val="22"/>
          <w:szCs w:val="22"/>
        </w:rPr>
      </w:pPr>
      <w:r w:rsidRPr="00AD6FEC">
        <w:rPr>
          <w:rFonts w:asciiTheme="minorHAnsi" w:hAnsiTheme="minorHAnsi" w:cstheme="minorHAnsi"/>
          <w:sz w:val="22"/>
          <w:szCs w:val="22"/>
        </w:rPr>
        <w:t xml:space="preserve">CAP – Wayne </w:t>
      </w:r>
      <w:proofErr w:type="spellStart"/>
      <w:r w:rsidRPr="00AD6FEC">
        <w:rPr>
          <w:rFonts w:asciiTheme="minorHAnsi" w:hAnsiTheme="minorHAnsi" w:cstheme="minorHAnsi"/>
          <w:sz w:val="22"/>
          <w:szCs w:val="22"/>
        </w:rPr>
        <w:t>Heisler</w:t>
      </w:r>
      <w:proofErr w:type="spellEnd"/>
      <w:r w:rsidRPr="00AD6FEC">
        <w:rPr>
          <w:rFonts w:asciiTheme="minorHAnsi" w:hAnsiTheme="minorHAnsi" w:cstheme="minorHAnsi"/>
          <w:sz w:val="22"/>
          <w:szCs w:val="22"/>
        </w:rPr>
        <w:t xml:space="preserve"> reported </w:t>
      </w:r>
      <w:r w:rsidR="004311D4">
        <w:rPr>
          <w:rFonts w:asciiTheme="minorHAnsi" w:hAnsiTheme="minorHAnsi" w:cstheme="minorHAnsi"/>
          <w:sz w:val="22"/>
          <w:szCs w:val="22"/>
        </w:rPr>
        <w:t xml:space="preserve">that </w:t>
      </w:r>
      <w:r w:rsidR="004311D4" w:rsidRPr="004311D4">
        <w:rPr>
          <w:rFonts w:asciiTheme="minorHAnsi" w:hAnsiTheme="minorHAnsi" w:cstheme="minorHAnsi"/>
          <w:sz w:val="22"/>
          <w:szCs w:val="22"/>
        </w:rPr>
        <w:t xml:space="preserve">CAP passed a preliminary recommendation on a policy for Class Attendance and Absence, which was modified based on campus-wide testimony.  A CAP subcommittee is gathering testimony regarding a charge on Course Withdrawal and Repeating Courses.  In consultation with CSCC, another CAP subcommittee is finalizing a recommendation for a policy on Certificate Programs.  Also, after getting feedback from College Counsel CAP will draft a preliminary recommendation on a charge regarding the Retention of Student Work.  Lastly, regarding a charge on Ungraded Options, Wayne </w:t>
      </w:r>
      <w:proofErr w:type="spellStart"/>
      <w:r w:rsidR="004311D4" w:rsidRPr="004311D4">
        <w:rPr>
          <w:rFonts w:asciiTheme="minorHAnsi" w:hAnsiTheme="minorHAnsi" w:cstheme="minorHAnsi"/>
          <w:sz w:val="22"/>
          <w:szCs w:val="22"/>
        </w:rPr>
        <w:t>Heisler</w:t>
      </w:r>
      <w:proofErr w:type="spellEnd"/>
      <w:r w:rsidR="004311D4" w:rsidRPr="004311D4">
        <w:rPr>
          <w:rFonts w:asciiTheme="minorHAnsi" w:hAnsiTheme="minorHAnsi" w:cstheme="minorHAnsi"/>
          <w:sz w:val="22"/>
          <w:szCs w:val="22"/>
        </w:rPr>
        <w:t xml:space="preserve"> initiated preliminary formal feedback about extending the option beyond fall and spring terms at this Senate meeting.  </w:t>
      </w:r>
    </w:p>
    <w:p w:rsidR="00AD6FEC" w:rsidRPr="004311D4" w:rsidRDefault="00AD6FEC" w:rsidP="004311D4">
      <w:pPr>
        <w:pStyle w:val="ListParagraph"/>
        <w:rPr>
          <w:rFonts w:asciiTheme="minorHAnsi" w:hAnsiTheme="minorHAnsi" w:cstheme="minorHAnsi"/>
          <w:sz w:val="22"/>
          <w:szCs w:val="22"/>
        </w:rPr>
      </w:pPr>
    </w:p>
    <w:p w:rsidR="00AD6FEC" w:rsidRPr="00AD6FEC" w:rsidRDefault="00C52B9B" w:rsidP="00AD6FEC">
      <w:pPr>
        <w:pStyle w:val="ListParagraph"/>
        <w:numPr>
          <w:ilvl w:val="0"/>
          <w:numId w:val="22"/>
        </w:numPr>
      </w:pPr>
      <w:r w:rsidRPr="00AD6FEC">
        <w:rPr>
          <w:rFonts w:asciiTheme="minorHAnsi" w:hAnsiTheme="minorHAnsi" w:cstheme="minorHAnsi"/>
          <w:sz w:val="22"/>
          <w:szCs w:val="22"/>
        </w:rPr>
        <w:t>C</w:t>
      </w:r>
      <w:r w:rsidR="00C66420" w:rsidRPr="00AD6FEC">
        <w:rPr>
          <w:rFonts w:asciiTheme="minorHAnsi" w:hAnsiTheme="minorHAnsi" w:cstheme="minorHAnsi"/>
          <w:sz w:val="22"/>
          <w:szCs w:val="22"/>
        </w:rPr>
        <w:t>FA</w:t>
      </w:r>
      <w:r w:rsidRPr="00AD6FEC">
        <w:rPr>
          <w:rFonts w:asciiTheme="minorHAnsi" w:hAnsiTheme="minorHAnsi" w:cstheme="minorHAnsi"/>
          <w:sz w:val="22"/>
          <w:szCs w:val="22"/>
        </w:rPr>
        <w:t xml:space="preserve"> – </w:t>
      </w:r>
      <w:r w:rsidR="00C66420" w:rsidRPr="00AD6FEC">
        <w:rPr>
          <w:rFonts w:asciiTheme="minorHAnsi" w:hAnsiTheme="minorHAnsi" w:cstheme="minorHAnsi"/>
          <w:sz w:val="22"/>
          <w:szCs w:val="22"/>
        </w:rPr>
        <w:t xml:space="preserve">Carlos </w:t>
      </w:r>
      <w:proofErr w:type="spellStart"/>
      <w:r w:rsidR="00C66420" w:rsidRPr="00AD6FEC">
        <w:rPr>
          <w:rFonts w:asciiTheme="minorHAnsi" w:hAnsiTheme="minorHAnsi" w:cstheme="minorHAnsi"/>
          <w:sz w:val="22"/>
          <w:szCs w:val="22"/>
        </w:rPr>
        <w:t>Alves</w:t>
      </w:r>
      <w:proofErr w:type="spellEnd"/>
      <w:r w:rsidR="00692D14" w:rsidRPr="00AD6FEC">
        <w:rPr>
          <w:rFonts w:asciiTheme="minorHAnsi" w:hAnsiTheme="minorHAnsi" w:cstheme="minorHAnsi"/>
          <w:sz w:val="22"/>
          <w:szCs w:val="22"/>
        </w:rPr>
        <w:t xml:space="preserve"> reported </w:t>
      </w:r>
      <w:r w:rsidR="00C66420" w:rsidRPr="00AD6FEC">
        <w:rPr>
          <w:rFonts w:asciiTheme="minorHAnsi" w:hAnsiTheme="minorHAnsi" w:cstheme="minorHAnsi"/>
          <w:sz w:val="22"/>
          <w:szCs w:val="22"/>
        </w:rPr>
        <w:t xml:space="preserve"> </w:t>
      </w:r>
      <w:r w:rsidR="00AD6FEC">
        <w:rPr>
          <w:rFonts w:asciiTheme="minorHAnsi" w:hAnsiTheme="minorHAnsi" w:cstheme="minorHAnsi"/>
          <w:sz w:val="22"/>
          <w:szCs w:val="22"/>
        </w:rPr>
        <w:t>the following from the CFA meeting:</w:t>
      </w:r>
    </w:p>
    <w:p w:rsidR="00AD6FEC" w:rsidRDefault="00AD6FEC" w:rsidP="00AD6FEC">
      <w:pPr>
        <w:pStyle w:val="ListParagraph"/>
      </w:pPr>
    </w:p>
    <w:p w:rsidR="00AD6FEC" w:rsidRPr="00AD6FEC" w:rsidRDefault="00AD6FEC" w:rsidP="00AD6FEC">
      <w:pPr>
        <w:pStyle w:val="ListParagraph"/>
        <w:numPr>
          <w:ilvl w:val="1"/>
          <w:numId w:val="22"/>
        </w:numPr>
        <w:rPr>
          <w:rFonts w:asciiTheme="minorHAnsi" w:hAnsiTheme="minorHAnsi" w:cstheme="minorHAnsi"/>
          <w:sz w:val="22"/>
          <w:szCs w:val="22"/>
        </w:rPr>
      </w:pPr>
      <w:r w:rsidRPr="00AD6FEC">
        <w:rPr>
          <w:rFonts w:asciiTheme="minorHAnsi" w:hAnsiTheme="minorHAnsi" w:cstheme="minorHAnsi"/>
          <w:sz w:val="22"/>
          <w:szCs w:val="22"/>
        </w:rPr>
        <w:t xml:space="preserve">Recording of Lectures Policy ready for open forum (held today). </w:t>
      </w:r>
    </w:p>
    <w:p w:rsidR="00AD6FEC" w:rsidRPr="00AD6FEC" w:rsidRDefault="00AD6FEC" w:rsidP="00AD6FEC">
      <w:pPr>
        <w:pStyle w:val="ListParagraph"/>
        <w:numPr>
          <w:ilvl w:val="1"/>
          <w:numId w:val="22"/>
        </w:numPr>
        <w:rPr>
          <w:rFonts w:asciiTheme="minorHAnsi" w:hAnsiTheme="minorHAnsi" w:cstheme="minorHAnsi"/>
          <w:sz w:val="22"/>
          <w:szCs w:val="22"/>
        </w:rPr>
      </w:pPr>
      <w:r w:rsidRPr="00AD6FEC">
        <w:rPr>
          <w:rFonts w:asciiTheme="minorHAnsi" w:hAnsiTheme="minorHAnsi" w:cstheme="minorHAnsi"/>
          <w:sz w:val="22"/>
          <w:szCs w:val="22"/>
        </w:rPr>
        <w:t>Delayed Tenure Review Policy has the provost’s support. She is reviewing it with General Counsel to ensure policy is in agreement with state regulations.</w:t>
      </w:r>
    </w:p>
    <w:p w:rsidR="00AD6FEC" w:rsidRPr="00AD6FEC" w:rsidRDefault="00AD6FEC" w:rsidP="00AD6FEC">
      <w:pPr>
        <w:pStyle w:val="ListParagraph"/>
        <w:numPr>
          <w:ilvl w:val="1"/>
          <w:numId w:val="22"/>
        </w:numPr>
        <w:rPr>
          <w:rFonts w:asciiTheme="minorHAnsi" w:hAnsiTheme="minorHAnsi" w:cstheme="minorHAnsi"/>
          <w:sz w:val="22"/>
          <w:szCs w:val="22"/>
        </w:rPr>
      </w:pPr>
      <w:r w:rsidRPr="00AD6FEC">
        <w:rPr>
          <w:rFonts w:asciiTheme="minorHAnsi" w:hAnsiTheme="minorHAnsi" w:cstheme="minorHAnsi"/>
          <w:sz w:val="22"/>
          <w:szCs w:val="22"/>
        </w:rPr>
        <w:t xml:space="preserve">Frank Cooper and Libby </w:t>
      </w:r>
      <w:proofErr w:type="spellStart"/>
      <w:r w:rsidRPr="00AD6FEC">
        <w:rPr>
          <w:rFonts w:asciiTheme="minorHAnsi" w:hAnsiTheme="minorHAnsi" w:cstheme="minorHAnsi"/>
          <w:sz w:val="22"/>
          <w:szCs w:val="22"/>
        </w:rPr>
        <w:t>Alcaro</w:t>
      </w:r>
      <w:proofErr w:type="spellEnd"/>
      <w:r w:rsidRPr="00AD6FEC">
        <w:rPr>
          <w:rFonts w:asciiTheme="minorHAnsi" w:hAnsiTheme="minorHAnsi" w:cstheme="minorHAnsi"/>
          <w:sz w:val="22"/>
          <w:szCs w:val="22"/>
        </w:rPr>
        <w:t xml:space="preserve"> from R&amp;R met with CFA to discuss the electronic administration of student feedback forms as part of the bigger issue of reviewing the Tenure and Promotion Document. The subcommittee doing this review will also be looking at electronic submission of the applications, peer review of teaching, service, the role of the CPC, the composition of the DPC in small departments, among others.</w:t>
      </w:r>
    </w:p>
    <w:p w:rsidR="00AD6FEC" w:rsidRPr="00AD6FEC" w:rsidRDefault="00AD6FEC" w:rsidP="00AD6FEC">
      <w:pPr>
        <w:pStyle w:val="ListParagraph"/>
        <w:numPr>
          <w:ilvl w:val="1"/>
          <w:numId w:val="22"/>
        </w:numPr>
        <w:rPr>
          <w:rFonts w:asciiTheme="minorHAnsi" w:hAnsiTheme="minorHAnsi" w:cstheme="minorHAnsi"/>
          <w:sz w:val="22"/>
          <w:szCs w:val="22"/>
        </w:rPr>
      </w:pPr>
      <w:r w:rsidRPr="00AD6FEC">
        <w:rPr>
          <w:rFonts w:asciiTheme="minorHAnsi" w:hAnsiTheme="minorHAnsi" w:cstheme="minorHAnsi"/>
          <w:sz w:val="22"/>
          <w:szCs w:val="22"/>
        </w:rPr>
        <w:t>Faculty Reassigned Time subcommittee has been gathering data, both internal and external.</w:t>
      </w:r>
    </w:p>
    <w:p w:rsidR="00AD6FEC" w:rsidRPr="00AD6FEC" w:rsidRDefault="00AD6FEC" w:rsidP="00AD6FEC">
      <w:pPr>
        <w:pStyle w:val="ListParagraph"/>
        <w:numPr>
          <w:ilvl w:val="1"/>
          <w:numId w:val="22"/>
        </w:numPr>
        <w:rPr>
          <w:rFonts w:asciiTheme="minorHAnsi" w:hAnsiTheme="minorHAnsi" w:cstheme="minorHAnsi"/>
          <w:sz w:val="22"/>
          <w:szCs w:val="22"/>
        </w:rPr>
      </w:pPr>
      <w:r w:rsidRPr="00AD6FEC">
        <w:rPr>
          <w:rFonts w:asciiTheme="minorHAnsi" w:hAnsiTheme="minorHAnsi" w:cstheme="minorHAnsi"/>
          <w:sz w:val="22"/>
          <w:szCs w:val="22"/>
        </w:rPr>
        <w:t>Starting to readdress Professional Behavior and Student Appeals policies.</w:t>
      </w:r>
    </w:p>
    <w:p w:rsidR="00C66420" w:rsidRPr="00500434" w:rsidRDefault="00C66420" w:rsidP="00AD6FEC">
      <w:pPr>
        <w:pStyle w:val="ListParagraph"/>
        <w:rPr>
          <w:rFonts w:asciiTheme="minorHAnsi" w:hAnsiTheme="minorHAnsi" w:cstheme="minorHAnsi"/>
          <w:sz w:val="22"/>
          <w:szCs w:val="22"/>
        </w:rPr>
      </w:pPr>
    </w:p>
    <w:p w:rsidR="00C52B9B" w:rsidRPr="00500434" w:rsidRDefault="00C52B9B" w:rsidP="00C66420">
      <w:pPr>
        <w:pStyle w:val="ListParagraph"/>
        <w:rPr>
          <w:rFonts w:asciiTheme="minorHAnsi" w:hAnsiTheme="minorHAnsi" w:cstheme="minorHAnsi"/>
          <w:sz w:val="22"/>
          <w:szCs w:val="22"/>
        </w:rPr>
      </w:pPr>
    </w:p>
    <w:p w:rsidR="008140E6" w:rsidRDefault="007D77E2" w:rsidP="00AD6FEC">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w:t>
      </w:r>
      <w:r w:rsidR="00C66420" w:rsidRPr="00500434">
        <w:rPr>
          <w:rFonts w:asciiTheme="minorHAnsi" w:hAnsiTheme="minorHAnsi" w:cstheme="minorHAnsi"/>
          <w:sz w:val="22"/>
          <w:szCs w:val="22"/>
        </w:rPr>
        <w:t>S</w:t>
      </w:r>
      <w:r w:rsidRPr="00500434">
        <w:rPr>
          <w:rFonts w:asciiTheme="minorHAnsi" w:hAnsiTheme="minorHAnsi" w:cstheme="minorHAnsi"/>
          <w:sz w:val="22"/>
          <w:szCs w:val="22"/>
        </w:rPr>
        <w:t>PP</w:t>
      </w:r>
      <w:r w:rsidR="00D84657" w:rsidRPr="00500434">
        <w:rPr>
          <w:rFonts w:asciiTheme="minorHAnsi" w:hAnsiTheme="minorHAnsi" w:cstheme="minorHAnsi"/>
          <w:sz w:val="22"/>
          <w:szCs w:val="22"/>
        </w:rPr>
        <w:t xml:space="preserve"> – </w:t>
      </w:r>
      <w:r w:rsidR="008140E6" w:rsidRPr="00500434">
        <w:rPr>
          <w:rFonts w:asciiTheme="minorHAnsi" w:hAnsiTheme="minorHAnsi" w:cstheme="minorHAnsi"/>
          <w:sz w:val="22"/>
          <w:szCs w:val="22"/>
        </w:rPr>
        <w:t xml:space="preserve">John </w:t>
      </w:r>
      <w:proofErr w:type="spellStart"/>
      <w:r w:rsidR="007B638E">
        <w:rPr>
          <w:rFonts w:asciiTheme="minorHAnsi" w:hAnsiTheme="minorHAnsi" w:cstheme="minorHAnsi"/>
          <w:sz w:val="22"/>
          <w:szCs w:val="22"/>
        </w:rPr>
        <w:t>Landreau</w:t>
      </w:r>
      <w:proofErr w:type="spellEnd"/>
      <w:r w:rsidR="007A498D">
        <w:rPr>
          <w:rFonts w:asciiTheme="minorHAnsi" w:hAnsiTheme="minorHAnsi" w:cstheme="minorHAnsi"/>
          <w:sz w:val="22"/>
          <w:szCs w:val="22"/>
        </w:rPr>
        <w:t xml:space="preserve"> provided the attached report. (Appendix 1)</w:t>
      </w:r>
    </w:p>
    <w:p w:rsidR="00AD6FEC" w:rsidRPr="00500434" w:rsidRDefault="00AD6FEC" w:rsidP="00AD6FEC">
      <w:pPr>
        <w:pStyle w:val="ListParagraph"/>
        <w:rPr>
          <w:rFonts w:asciiTheme="minorHAnsi" w:hAnsiTheme="minorHAnsi" w:cstheme="minorHAnsi"/>
          <w:sz w:val="22"/>
          <w:szCs w:val="22"/>
        </w:rPr>
      </w:pPr>
    </w:p>
    <w:p w:rsidR="00AD6FEC" w:rsidRPr="007B638E" w:rsidRDefault="007D77E2" w:rsidP="007B638E">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CSCC</w:t>
      </w:r>
      <w:r w:rsidR="007D4167" w:rsidRPr="00500434">
        <w:rPr>
          <w:rFonts w:asciiTheme="minorHAnsi" w:hAnsiTheme="minorHAnsi" w:cstheme="minorHAnsi"/>
          <w:sz w:val="22"/>
          <w:szCs w:val="22"/>
        </w:rPr>
        <w:t xml:space="preserve"> – </w:t>
      </w:r>
      <w:r w:rsidR="00F348C6" w:rsidRPr="00500434">
        <w:rPr>
          <w:rFonts w:asciiTheme="minorHAnsi" w:hAnsiTheme="minorHAnsi" w:cstheme="minorHAnsi"/>
          <w:sz w:val="22"/>
          <w:szCs w:val="22"/>
        </w:rPr>
        <w:t xml:space="preserve">Jody </w:t>
      </w:r>
      <w:proofErr w:type="spellStart"/>
      <w:r w:rsidR="00F348C6" w:rsidRPr="00500434">
        <w:rPr>
          <w:rFonts w:asciiTheme="minorHAnsi" w:hAnsiTheme="minorHAnsi" w:cstheme="minorHAnsi"/>
          <w:sz w:val="22"/>
          <w:szCs w:val="22"/>
        </w:rPr>
        <w:t>Eberly</w:t>
      </w:r>
      <w:proofErr w:type="spellEnd"/>
      <w:r w:rsidR="00F348C6" w:rsidRPr="00500434">
        <w:rPr>
          <w:rFonts w:asciiTheme="minorHAnsi" w:hAnsiTheme="minorHAnsi" w:cstheme="minorHAnsi"/>
          <w:sz w:val="22"/>
          <w:szCs w:val="22"/>
        </w:rPr>
        <w:t xml:space="preserve"> </w:t>
      </w:r>
      <w:r w:rsidR="00AD6FEC">
        <w:rPr>
          <w:rFonts w:asciiTheme="minorHAnsi" w:hAnsiTheme="minorHAnsi" w:cstheme="minorHAnsi"/>
          <w:sz w:val="22"/>
          <w:szCs w:val="22"/>
        </w:rPr>
        <w:t>reported that</w:t>
      </w:r>
      <w:r w:rsidR="00AD6FEC" w:rsidRPr="00AD6FEC">
        <w:t xml:space="preserve"> </w:t>
      </w:r>
      <w:r w:rsidR="00AD6FEC" w:rsidRPr="00AD6FEC">
        <w:rPr>
          <w:rFonts w:asciiTheme="minorHAnsi" w:hAnsiTheme="minorHAnsi" w:cstheme="minorHAnsi"/>
          <w:sz w:val="22"/>
          <w:szCs w:val="22"/>
        </w:rPr>
        <w:t>CSCC met on Wednesday, October 9, 2013</w:t>
      </w:r>
      <w:r w:rsidR="007B638E">
        <w:rPr>
          <w:rFonts w:asciiTheme="minorHAnsi" w:hAnsiTheme="minorHAnsi" w:cstheme="minorHAnsi"/>
          <w:sz w:val="22"/>
          <w:szCs w:val="22"/>
        </w:rPr>
        <w:t xml:space="preserve">. </w:t>
      </w:r>
      <w:r w:rsidR="00AD6FEC" w:rsidRPr="007B638E">
        <w:rPr>
          <w:rFonts w:asciiTheme="minorHAnsi" w:hAnsiTheme="minorHAnsi" w:cstheme="minorHAnsi"/>
          <w:sz w:val="22"/>
          <w:szCs w:val="22"/>
        </w:rPr>
        <w:t>CSCC is working on four charges as follows:</w:t>
      </w:r>
    </w:p>
    <w:p w:rsidR="00AD6FEC" w:rsidRPr="007B638E" w:rsidRDefault="00AD6FEC" w:rsidP="007B638E">
      <w:pPr>
        <w:rPr>
          <w:rFonts w:asciiTheme="minorHAnsi" w:hAnsiTheme="minorHAnsi" w:cstheme="minorHAnsi"/>
          <w:sz w:val="22"/>
          <w:szCs w:val="22"/>
        </w:rPr>
      </w:pPr>
    </w:p>
    <w:p w:rsidR="00AD6FEC" w:rsidRPr="007B638E" w:rsidRDefault="00AD6FEC" w:rsidP="007B638E">
      <w:pPr>
        <w:pStyle w:val="ListParagraph"/>
        <w:numPr>
          <w:ilvl w:val="1"/>
          <w:numId w:val="31"/>
        </w:numPr>
        <w:rPr>
          <w:rFonts w:asciiTheme="minorHAnsi" w:hAnsiTheme="minorHAnsi" w:cstheme="minorHAnsi"/>
          <w:sz w:val="22"/>
          <w:szCs w:val="22"/>
        </w:rPr>
      </w:pPr>
      <w:r w:rsidRPr="00AD6FEC">
        <w:rPr>
          <w:rFonts w:asciiTheme="minorHAnsi" w:hAnsiTheme="minorHAnsi" w:cstheme="minorHAnsi"/>
          <w:sz w:val="22"/>
          <w:szCs w:val="22"/>
        </w:rPr>
        <w:lastRenderedPageBreak/>
        <w:t>Certificate Programs:  Magda Manetas reported that Jackie Taylor is reworking the charge with Steering and will send a revised charge to CAP that more clearly addresses the administrative details of Certificate Programs and the process of approval.</w:t>
      </w:r>
    </w:p>
    <w:p w:rsidR="00AD6FEC" w:rsidRPr="007B638E" w:rsidRDefault="00AD6FEC" w:rsidP="007B638E">
      <w:pPr>
        <w:pStyle w:val="ListParagraph"/>
        <w:numPr>
          <w:ilvl w:val="1"/>
          <w:numId w:val="31"/>
        </w:numPr>
        <w:rPr>
          <w:rFonts w:asciiTheme="minorHAnsi" w:hAnsiTheme="minorHAnsi" w:cstheme="minorHAnsi"/>
          <w:sz w:val="22"/>
          <w:szCs w:val="22"/>
        </w:rPr>
      </w:pPr>
      <w:r w:rsidRPr="00AD6FEC">
        <w:rPr>
          <w:rFonts w:asciiTheme="minorHAnsi" w:hAnsiTheme="minorHAnsi" w:cstheme="minorHAnsi"/>
          <w:sz w:val="22"/>
          <w:szCs w:val="22"/>
        </w:rPr>
        <w:t xml:space="preserve">Student Rights and Freedoms:  Will be discussed at an Open Forum in October prior to the October 16th Senate meeting.  Charge will also be presented to the Staff Senate, Student Governance and to the broader campus on October 16th from 3:00-4:30 in Business 206 and on October 23rd from 12:00-1:20 in Education 206.  </w:t>
      </w:r>
    </w:p>
    <w:p w:rsidR="00AD6FEC" w:rsidRPr="007B638E" w:rsidRDefault="00AD6FEC" w:rsidP="007B638E">
      <w:pPr>
        <w:pStyle w:val="ListParagraph"/>
        <w:numPr>
          <w:ilvl w:val="1"/>
          <w:numId w:val="31"/>
        </w:numPr>
        <w:rPr>
          <w:rFonts w:asciiTheme="minorHAnsi" w:hAnsiTheme="minorHAnsi" w:cstheme="minorHAnsi"/>
          <w:sz w:val="22"/>
          <w:szCs w:val="22"/>
        </w:rPr>
      </w:pPr>
      <w:r w:rsidRPr="00AD6FEC">
        <w:rPr>
          <w:rFonts w:asciiTheme="minorHAnsi" w:hAnsiTheme="minorHAnsi" w:cstheme="minorHAnsi"/>
          <w:sz w:val="22"/>
          <w:szCs w:val="22"/>
        </w:rPr>
        <w:t>Protection of Children Policy – Interim Policy Proposal:  Will be discussed at an Open Forum in October prior to the October 16th Senate meeting.  Charge will also be presented to the Staff Senate, Student Governance and to the broader campus on October 16th from 3:00-4:30 in Business 206 and on October 23rd from 12:00-1:20 in Education 206.</w:t>
      </w:r>
    </w:p>
    <w:p w:rsidR="00AD6FEC" w:rsidRPr="00AD6FEC" w:rsidRDefault="00AD6FEC" w:rsidP="007B638E">
      <w:pPr>
        <w:pStyle w:val="ListParagraph"/>
        <w:numPr>
          <w:ilvl w:val="1"/>
          <w:numId w:val="31"/>
        </w:numPr>
        <w:rPr>
          <w:rFonts w:asciiTheme="minorHAnsi" w:hAnsiTheme="minorHAnsi" w:cstheme="minorHAnsi"/>
          <w:sz w:val="22"/>
          <w:szCs w:val="22"/>
        </w:rPr>
      </w:pPr>
      <w:r w:rsidRPr="00AD6FEC">
        <w:rPr>
          <w:rFonts w:asciiTheme="minorHAnsi" w:hAnsiTheme="minorHAnsi" w:cstheme="minorHAnsi"/>
          <w:sz w:val="22"/>
          <w:szCs w:val="22"/>
        </w:rPr>
        <w:t>Alcohol Policy:  CSCC discussed the conflict between the Student Conduct Code and the Alcohol policy that is still in existence.  There is some question as to who owns this issue (College Advancement or Student Affairs).  CSCC suggested striking the reference to the Alcohol Permit policy as long as it is in conflict with the Student Conduct Code.  CSCC decided to return the policy to the original writing group with suggestions, such as deleting the reference to the Alcohol Permit policy, making sure that formatting matches the college’s format for writing policies, and also adding a suggested timeline to the policy.</w:t>
      </w:r>
    </w:p>
    <w:p w:rsidR="00FD115D" w:rsidRPr="00500434" w:rsidRDefault="00FD115D" w:rsidP="00FD115D">
      <w:pPr>
        <w:rPr>
          <w:rFonts w:asciiTheme="minorHAnsi" w:hAnsiTheme="minorHAnsi" w:cstheme="minorHAnsi"/>
          <w:sz w:val="22"/>
          <w:szCs w:val="22"/>
        </w:rPr>
      </w:pPr>
    </w:p>
    <w:p w:rsidR="00FD115D" w:rsidRPr="00500434" w:rsidRDefault="00FD115D" w:rsidP="00FD115D">
      <w:pPr>
        <w:rPr>
          <w:rFonts w:asciiTheme="minorHAnsi" w:hAnsiTheme="minorHAnsi" w:cstheme="minorHAnsi"/>
          <w:sz w:val="22"/>
          <w:szCs w:val="22"/>
        </w:rPr>
      </w:pPr>
    </w:p>
    <w:p w:rsidR="00AD6FEC" w:rsidRPr="00500434" w:rsidRDefault="00AD6FEC" w:rsidP="00AD6FEC">
      <w:pPr>
        <w:rPr>
          <w:rFonts w:asciiTheme="minorHAnsi" w:hAnsiTheme="minorHAnsi" w:cstheme="minorHAnsi"/>
          <w:b/>
          <w:sz w:val="22"/>
          <w:szCs w:val="22"/>
        </w:rPr>
      </w:pPr>
      <w:r>
        <w:rPr>
          <w:rFonts w:asciiTheme="minorHAnsi" w:hAnsiTheme="minorHAnsi" w:cstheme="minorHAnsi"/>
          <w:b/>
          <w:sz w:val="22"/>
          <w:szCs w:val="22"/>
        </w:rPr>
        <w:t>TRUSTEES REPORT</w:t>
      </w:r>
    </w:p>
    <w:p w:rsidR="00AD6FEC" w:rsidRPr="00AD6FEC" w:rsidRDefault="00AD6FEC" w:rsidP="00AD6FEC">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David Blake reported that, a</w:t>
      </w:r>
      <w:r w:rsidRPr="00AD6FEC">
        <w:rPr>
          <w:rFonts w:asciiTheme="minorHAnsi" w:hAnsiTheme="minorHAnsi" w:cstheme="minorHAnsi"/>
          <w:sz w:val="22"/>
          <w:szCs w:val="22"/>
        </w:rPr>
        <w:t>t its October 8, 2013 meeting, the Board of Trustees discussed the design of the STEM building and approved a resolution for financing the building beyond the funds allocated by the state.  The Board received updates on the creation of Trio – an effort to coordinate a single strategic plan across the TSC Corporation, the Board of Trustees, and the Foundation and the state’s extension of the Public/ Private partnership which will allow more projects like Campus Town.  The Academic Affairs committee heard a report on the yield and retention of students from different ethnic groups, as well as a report on TAP from Professors Diane Bates and Liz Borland.  The Board approved a partnership between the School of Nursing and St. Peter’s and Hunterdon County hospitals in which our faculty will be hired to train nurses at these facilities.</w:t>
      </w:r>
    </w:p>
    <w:p w:rsidR="00AD6FEC" w:rsidRDefault="00AD6FEC" w:rsidP="00FD115D">
      <w:pPr>
        <w:rPr>
          <w:rFonts w:asciiTheme="minorHAnsi" w:hAnsiTheme="minorHAnsi" w:cstheme="minorHAnsi"/>
          <w:b/>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C976CD" w:rsidRDefault="00F348C6" w:rsidP="00F348C6">
      <w:pPr>
        <w:pStyle w:val="ListParagraph"/>
        <w:numPr>
          <w:ilvl w:val="0"/>
          <w:numId w:val="19"/>
        </w:numPr>
        <w:rPr>
          <w:rFonts w:asciiTheme="minorHAnsi" w:hAnsiTheme="minorHAnsi" w:cstheme="minorHAnsi"/>
          <w:sz w:val="22"/>
          <w:szCs w:val="22"/>
        </w:rPr>
      </w:pPr>
      <w:r w:rsidRPr="00500434">
        <w:rPr>
          <w:rFonts w:asciiTheme="minorHAnsi" w:hAnsiTheme="minorHAnsi" w:cstheme="minorHAnsi"/>
          <w:sz w:val="22"/>
          <w:szCs w:val="22"/>
        </w:rPr>
        <w:t xml:space="preserve">November 6, Business Building Lounge: Faculty Senate Colloquium for Research and Creative Activity: Andy </w:t>
      </w:r>
      <w:proofErr w:type="spellStart"/>
      <w:r w:rsidRPr="00500434">
        <w:rPr>
          <w:rFonts w:asciiTheme="minorHAnsi" w:hAnsiTheme="minorHAnsi" w:cstheme="minorHAnsi"/>
          <w:sz w:val="22"/>
          <w:szCs w:val="22"/>
        </w:rPr>
        <w:t>Leynes</w:t>
      </w:r>
      <w:proofErr w:type="spellEnd"/>
      <w:r w:rsidRPr="00500434">
        <w:rPr>
          <w:rFonts w:asciiTheme="minorHAnsi" w:hAnsiTheme="minorHAnsi" w:cstheme="minorHAnsi"/>
          <w:sz w:val="22"/>
          <w:szCs w:val="22"/>
        </w:rPr>
        <w:t xml:space="preserve">, speaker </w:t>
      </w:r>
    </w:p>
    <w:p w:rsidR="00A0269F" w:rsidRPr="00500434" w:rsidRDefault="00A0269F" w:rsidP="00F348C6">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January 29, 12:00 noon, Education 212: Faculty meeting with provost address.</w:t>
      </w:r>
    </w:p>
    <w:p w:rsidR="00C976CD" w:rsidRDefault="00C976CD" w:rsidP="00C976CD">
      <w:pPr>
        <w:rPr>
          <w:sz w:val="22"/>
          <w:szCs w:val="22"/>
        </w:rPr>
      </w:pPr>
    </w:p>
    <w:p w:rsidR="00873A63" w:rsidRDefault="00873A63">
      <w:pPr>
        <w:rPr>
          <w:sz w:val="22"/>
          <w:szCs w:val="22"/>
        </w:rPr>
      </w:pPr>
      <w:r>
        <w:rPr>
          <w:sz w:val="22"/>
          <w:szCs w:val="22"/>
        </w:rPr>
        <w:br w:type="page"/>
      </w:r>
    </w:p>
    <w:p w:rsidR="00873A63" w:rsidRDefault="00873A63" w:rsidP="00873A63">
      <w:pPr>
        <w:rPr>
          <w:rFonts w:asciiTheme="majorHAnsi" w:hAnsiTheme="majorHAnsi"/>
        </w:rPr>
      </w:pPr>
      <w:r w:rsidRPr="004C162C">
        <w:rPr>
          <w:rFonts w:asciiTheme="majorHAnsi" w:hAnsiTheme="majorHAnsi"/>
        </w:rPr>
        <w:lastRenderedPageBreak/>
        <w:t>Appendix 1</w:t>
      </w:r>
    </w:p>
    <w:p w:rsidR="00873A63" w:rsidRPr="004C162C" w:rsidRDefault="00873A63" w:rsidP="00873A63">
      <w:pPr>
        <w:rPr>
          <w:rFonts w:asciiTheme="majorHAnsi" w:hAnsiTheme="majorHAnsi"/>
        </w:rPr>
      </w:pPr>
    </w:p>
    <w:p w:rsidR="00873A63" w:rsidRPr="00E1361A" w:rsidRDefault="00873A63" w:rsidP="00873A63">
      <w:pPr>
        <w:rPr>
          <w:rFonts w:asciiTheme="majorHAnsi" w:hAnsiTheme="majorHAnsi"/>
          <w:u w:val="single"/>
        </w:rPr>
      </w:pPr>
      <w:r w:rsidRPr="00E1361A">
        <w:rPr>
          <w:rFonts w:asciiTheme="majorHAnsi" w:hAnsiTheme="majorHAnsi"/>
          <w:u w:val="single"/>
        </w:rPr>
        <w:t>A</w:t>
      </w:r>
      <w:r>
        <w:rPr>
          <w:rFonts w:asciiTheme="majorHAnsi" w:hAnsiTheme="majorHAnsi"/>
          <w:u w:val="single"/>
        </w:rPr>
        <w:t xml:space="preserve">dvising and Student Support Program Council </w:t>
      </w:r>
      <w:r w:rsidRPr="00E1361A">
        <w:rPr>
          <w:rFonts w:asciiTheme="majorHAnsi" w:hAnsiTheme="majorHAnsi"/>
          <w:u w:val="single"/>
        </w:rPr>
        <w:t>Report to Senate Fall 2013</w:t>
      </w:r>
    </w:p>
    <w:p w:rsidR="00873A63" w:rsidRPr="00E1361A" w:rsidRDefault="00873A63" w:rsidP="00873A63">
      <w:pPr>
        <w:rPr>
          <w:rFonts w:asciiTheme="majorHAnsi" w:hAnsiTheme="majorHAnsi"/>
        </w:rPr>
      </w:pPr>
    </w:p>
    <w:p w:rsidR="00873A63" w:rsidRPr="00E1361A" w:rsidRDefault="00873A63" w:rsidP="00873A63">
      <w:pPr>
        <w:rPr>
          <w:rFonts w:asciiTheme="majorHAnsi" w:hAnsiTheme="majorHAnsi"/>
        </w:rPr>
      </w:pPr>
      <w:r w:rsidRPr="00E1361A">
        <w:rPr>
          <w:rFonts w:asciiTheme="majorHAnsi" w:hAnsiTheme="majorHAnsi"/>
        </w:rPr>
        <w:t xml:space="preserve">A. </w:t>
      </w:r>
      <w:r>
        <w:rPr>
          <w:rFonts w:asciiTheme="majorHAnsi" w:hAnsiTheme="majorHAnsi"/>
        </w:rPr>
        <w:t>The ASS</w:t>
      </w:r>
      <w:r w:rsidRPr="00E1361A">
        <w:rPr>
          <w:rFonts w:asciiTheme="majorHAnsi" w:hAnsiTheme="majorHAnsi"/>
        </w:rPr>
        <w:t xml:space="preserve">C just finished ~3 years of work in which we </w:t>
      </w:r>
      <w:r>
        <w:rPr>
          <w:rFonts w:asciiTheme="majorHAnsi" w:hAnsiTheme="majorHAnsi"/>
        </w:rPr>
        <w:t xml:space="preserve">were </w:t>
      </w:r>
      <w:r w:rsidRPr="003A0378">
        <w:rPr>
          <w:rFonts w:asciiTheme="majorHAnsi" w:hAnsiTheme="majorHAnsi"/>
          <w:color w:val="000000" w:themeColor="text1"/>
        </w:rPr>
        <w:t>charged</w:t>
      </w:r>
      <w:r w:rsidRPr="003A0378">
        <w:rPr>
          <w:rFonts w:asciiTheme="majorHAnsi" w:hAnsiTheme="majorHAnsi"/>
          <w:color w:val="000000" w:themeColor="text1"/>
          <w:u w:val="single"/>
        </w:rPr>
        <w:t xml:space="preserve"> </w:t>
      </w:r>
      <w:r w:rsidRPr="003A0378">
        <w:rPr>
          <w:rFonts w:asciiTheme="majorHAnsi" w:hAnsiTheme="majorHAnsi"/>
          <w:color w:val="000000" w:themeColor="text1"/>
        </w:rPr>
        <w:t>first by the Cabinet to assess advising at TCNJ (2010/11) and then in 2012 by the Steering Committee to create a set of</w:t>
      </w:r>
      <w:r w:rsidRPr="00141F13">
        <w:rPr>
          <w:rFonts w:asciiTheme="majorHAnsi" w:hAnsiTheme="majorHAnsi"/>
          <w:color w:val="FF0000"/>
          <w:u w:val="single"/>
        </w:rPr>
        <w:t xml:space="preserve"> </w:t>
      </w:r>
      <w:r w:rsidRPr="00E1361A">
        <w:rPr>
          <w:rFonts w:asciiTheme="majorHAnsi" w:hAnsiTheme="majorHAnsi"/>
        </w:rPr>
        <w:t>recommended college-wide advising policies.  A summary of our work follows.</w:t>
      </w:r>
    </w:p>
    <w:p w:rsidR="00873A63" w:rsidRPr="00E1361A" w:rsidRDefault="00873A63" w:rsidP="00873A63">
      <w:pPr>
        <w:rPr>
          <w:rFonts w:asciiTheme="majorHAnsi" w:hAnsiTheme="majorHAnsi"/>
        </w:rPr>
      </w:pPr>
    </w:p>
    <w:p w:rsidR="00873A63" w:rsidRPr="00E1361A" w:rsidRDefault="00873A63" w:rsidP="00873A63">
      <w:pPr>
        <w:pStyle w:val="ListParagraph"/>
        <w:numPr>
          <w:ilvl w:val="0"/>
          <w:numId w:val="20"/>
        </w:numPr>
        <w:rPr>
          <w:rFonts w:asciiTheme="majorHAnsi" w:hAnsiTheme="majorHAnsi"/>
        </w:rPr>
      </w:pPr>
      <w:r>
        <w:rPr>
          <w:rFonts w:asciiTheme="majorHAnsi" w:hAnsiTheme="majorHAnsi"/>
        </w:rPr>
        <w:t>With regards to o</w:t>
      </w:r>
      <w:r w:rsidRPr="00E1361A">
        <w:rPr>
          <w:rFonts w:asciiTheme="majorHAnsi" w:hAnsiTheme="majorHAnsi"/>
        </w:rPr>
        <w:t>ur first charge</w:t>
      </w:r>
      <w:r>
        <w:rPr>
          <w:rFonts w:asciiTheme="majorHAnsi" w:hAnsiTheme="majorHAnsi"/>
        </w:rPr>
        <w:t>,</w:t>
      </w:r>
      <w:r w:rsidRPr="00E1361A">
        <w:rPr>
          <w:rFonts w:asciiTheme="majorHAnsi" w:hAnsiTheme="majorHAnsi"/>
        </w:rPr>
        <w:t xml:space="preserve"> </w:t>
      </w:r>
      <w:r>
        <w:rPr>
          <w:rFonts w:asciiTheme="majorHAnsi" w:hAnsiTheme="majorHAnsi"/>
        </w:rPr>
        <w:t>during the period from 2010-2012 we</w:t>
      </w:r>
      <w:r w:rsidRPr="00E1361A">
        <w:rPr>
          <w:rFonts w:asciiTheme="majorHAnsi" w:hAnsiTheme="majorHAnsi"/>
        </w:rPr>
        <w:t xml:space="preserve"> reviewed</w:t>
      </w:r>
      <w:r>
        <w:rPr>
          <w:rFonts w:asciiTheme="majorHAnsi" w:hAnsiTheme="majorHAnsi"/>
        </w:rPr>
        <w:t xml:space="preserve"> prior assessment results (e.g. NSSE survey data, SGA survey data),</w:t>
      </w:r>
      <w:r w:rsidRPr="00E1361A">
        <w:rPr>
          <w:rFonts w:asciiTheme="majorHAnsi" w:hAnsiTheme="majorHAnsi"/>
        </w:rPr>
        <w:t xml:space="preserve"> conducted faculty focus groups with all stakeholders (students, faculty, staff from Student Life, coaches and staff from Records and Registration) and generated a list of suggestions </w:t>
      </w:r>
      <w:r>
        <w:rPr>
          <w:rFonts w:asciiTheme="majorHAnsi" w:hAnsiTheme="majorHAnsi"/>
        </w:rPr>
        <w:t xml:space="preserve">for </w:t>
      </w:r>
      <w:r w:rsidRPr="00E1361A">
        <w:rPr>
          <w:rFonts w:asciiTheme="majorHAnsi" w:hAnsiTheme="majorHAnsi"/>
        </w:rPr>
        <w:t>how to improve</w:t>
      </w:r>
      <w:r>
        <w:rPr>
          <w:rFonts w:asciiTheme="majorHAnsi" w:hAnsiTheme="majorHAnsi"/>
        </w:rPr>
        <w:t xml:space="preserve"> advising</w:t>
      </w:r>
      <w:r w:rsidRPr="00E1361A">
        <w:rPr>
          <w:rFonts w:asciiTheme="majorHAnsi" w:hAnsiTheme="majorHAnsi"/>
        </w:rPr>
        <w:t xml:space="preserve">.  We submitted our report entitled “Assessment of Advising at TCNJ” to CPP in the spring of 2012. </w:t>
      </w:r>
    </w:p>
    <w:p w:rsidR="00873A63" w:rsidRPr="00E1361A" w:rsidRDefault="00873A63" w:rsidP="00873A63">
      <w:pPr>
        <w:rPr>
          <w:rFonts w:asciiTheme="majorHAnsi" w:hAnsiTheme="majorHAnsi"/>
        </w:rPr>
      </w:pPr>
    </w:p>
    <w:p w:rsidR="00873A63" w:rsidRPr="00E1361A" w:rsidRDefault="00873A63" w:rsidP="00873A63">
      <w:pPr>
        <w:pStyle w:val="ListParagraph"/>
        <w:numPr>
          <w:ilvl w:val="0"/>
          <w:numId w:val="20"/>
        </w:numPr>
        <w:rPr>
          <w:rFonts w:asciiTheme="majorHAnsi" w:hAnsiTheme="majorHAnsi"/>
        </w:rPr>
      </w:pPr>
      <w:r>
        <w:rPr>
          <w:rFonts w:asciiTheme="majorHAnsi" w:hAnsiTheme="majorHAnsi"/>
        </w:rPr>
        <w:t>With regards to our second charge, w</w:t>
      </w:r>
      <w:r w:rsidRPr="00E1361A">
        <w:rPr>
          <w:rFonts w:asciiTheme="majorHAnsi" w:hAnsiTheme="majorHAnsi"/>
        </w:rPr>
        <w:t xml:space="preserve">e surveyed the “best practices” being utilized by other colleges and by TCNJ departments, programs and schools, including the recent policies adopted by the School of Humanities and Social Sciences (http://hss.pages.tcnj.edu/advising-resources/), and devised a set of “Recommended College-wide Advising Goals and Practices”. One of our main priorities was to create a simple, streamlined document for advising that clearly articulates the responsibilities of the faculty </w:t>
      </w:r>
      <w:r w:rsidRPr="00E1361A">
        <w:rPr>
          <w:rFonts w:asciiTheme="majorHAnsi" w:hAnsiTheme="majorHAnsi"/>
          <w:i/>
          <w:u w:val="single"/>
        </w:rPr>
        <w:t>and</w:t>
      </w:r>
      <w:r w:rsidRPr="00E1361A">
        <w:rPr>
          <w:rFonts w:asciiTheme="majorHAnsi" w:hAnsiTheme="majorHAnsi"/>
        </w:rPr>
        <w:t xml:space="preserve"> students in advising. We submitted this document to CAP in the spring of 2013.</w:t>
      </w:r>
    </w:p>
    <w:p w:rsidR="00873A63" w:rsidRPr="00E1361A" w:rsidRDefault="00873A63" w:rsidP="00873A63">
      <w:pPr>
        <w:rPr>
          <w:rFonts w:asciiTheme="majorHAnsi" w:hAnsiTheme="majorHAnsi"/>
        </w:rPr>
      </w:pPr>
    </w:p>
    <w:p w:rsidR="00873A63" w:rsidRDefault="00873A63" w:rsidP="00873A63">
      <w:pPr>
        <w:rPr>
          <w:rFonts w:asciiTheme="majorHAnsi" w:hAnsiTheme="majorHAnsi"/>
        </w:rPr>
      </w:pPr>
      <w:r w:rsidRPr="00E1361A">
        <w:rPr>
          <w:rFonts w:asciiTheme="majorHAnsi" w:hAnsiTheme="majorHAnsi"/>
        </w:rPr>
        <w:t>B. Plans for Academic year 2012/2013: We have not yet received a new charge for academic year 2012/13 and we are open to sug</w:t>
      </w:r>
      <w:r>
        <w:rPr>
          <w:rFonts w:asciiTheme="majorHAnsi" w:hAnsiTheme="majorHAnsi"/>
        </w:rPr>
        <w:t>gestions.  While we wait for feedback on</w:t>
      </w:r>
      <w:r w:rsidRPr="00E1361A">
        <w:rPr>
          <w:rFonts w:asciiTheme="majorHAnsi" w:hAnsiTheme="majorHAnsi"/>
        </w:rPr>
        <w:t xml:space="preserve"> </w:t>
      </w:r>
      <w:r>
        <w:rPr>
          <w:rFonts w:asciiTheme="majorHAnsi" w:hAnsiTheme="majorHAnsi"/>
        </w:rPr>
        <w:t>the “R</w:t>
      </w:r>
      <w:r w:rsidRPr="00E1361A">
        <w:rPr>
          <w:rFonts w:asciiTheme="majorHAnsi" w:hAnsiTheme="majorHAnsi"/>
        </w:rPr>
        <w:t xml:space="preserve">ecommended College-wide Advising Goals and Practices” </w:t>
      </w:r>
      <w:r>
        <w:rPr>
          <w:rFonts w:asciiTheme="majorHAnsi" w:hAnsiTheme="majorHAnsi"/>
        </w:rPr>
        <w:t xml:space="preserve">document, </w:t>
      </w:r>
      <w:r w:rsidRPr="00E1361A">
        <w:rPr>
          <w:rFonts w:asciiTheme="majorHAnsi" w:hAnsiTheme="majorHAnsi"/>
        </w:rPr>
        <w:t>we plan to investigate potential mechanisms to assess advising (department-wide and college-wide) and how to better advise students in transition (i.e. changing majors).</w:t>
      </w:r>
    </w:p>
    <w:p w:rsidR="00873A63" w:rsidRDefault="00873A63">
      <w:pPr>
        <w:rPr>
          <w:rFonts w:asciiTheme="majorHAnsi" w:hAnsiTheme="majorHAnsi"/>
        </w:rPr>
      </w:pPr>
      <w:r>
        <w:rPr>
          <w:rFonts w:asciiTheme="majorHAnsi" w:hAnsiTheme="majorHAnsi"/>
        </w:rPr>
        <w:br w:type="page"/>
      </w:r>
    </w:p>
    <w:p w:rsidR="00873A63" w:rsidRDefault="00873A63" w:rsidP="00873A63">
      <w:pPr>
        <w:rPr>
          <w:rFonts w:asciiTheme="majorHAnsi" w:hAnsiTheme="majorHAnsi"/>
        </w:rPr>
      </w:pPr>
      <w:r>
        <w:rPr>
          <w:rFonts w:asciiTheme="majorHAnsi" w:hAnsiTheme="majorHAnsi"/>
        </w:rPr>
        <w:lastRenderedPageBreak/>
        <w:t>Appendix 2</w:t>
      </w:r>
    </w:p>
    <w:p w:rsidR="00873A63" w:rsidRDefault="00873A63" w:rsidP="00873A63">
      <w:pPr>
        <w:rPr>
          <w:rFonts w:asciiTheme="majorHAnsi" w:hAnsiTheme="majorHAnsi"/>
        </w:rPr>
      </w:pPr>
    </w:p>
    <w:p w:rsidR="00873A63" w:rsidRPr="00304275" w:rsidRDefault="00873A63" w:rsidP="00873A63">
      <w:pPr>
        <w:rPr>
          <w:b/>
        </w:rPr>
      </w:pPr>
      <w:r w:rsidRPr="00304275">
        <w:rPr>
          <w:b/>
        </w:rPr>
        <w:t>Report on the Cultural and Intellectual Community Program Council (CICPC)</w:t>
      </w:r>
    </w:p>
    <w:p w:rsidR="00873A63" w:rsidRDefault="00873A63" w:rsidP="00873A63">
      <w:r>
        <w:t xml:space="preserve">Andrea </w:t>
      </w:r>
      <w:proofErr w:type="spellStart"/>
      <w:r>
        <w:t>Salgian</w:t>
      </w:r>
      <w:proofErr w:type="spellEnd"/>
    </w:p>
    <w:p w:rsidR="00873A63" w:rsidRDefault="00873A63" w:rsidP="00873A63"/>
    <w:p w:rsidR="00873A63" w:rsidRDefault="00873A63" w:rsidP="00873A63">
      <w:r>
        <w:t xml:space="preserve">Last spring the CICPC selected the book “The Big Truck That Went By: How the World Came to Save Haiti and Left Behind a Disaster” by Jonathan M. Katz for summer reading. The summer reading program kicks of a series of intellectual and cultural programs around a year-long theme, which this year is “Constructing the Past”. </w:t>
      </w:r>
    </w:p>
    <w:p w:rsidR="00873A63" w:rsidRDefault="00873A63" w:rsidP="00873A63">
      <w:r>
        <w:t xml:space="preserve">Faculty have been asked to organize events around this theme. The CICPC has funding available and is accepting proposals for programs. Proposals are evaluated by the committee, and up to half of the cost of the event may be covered, provided that matching funds are obtained from other sources. </w:t>
      </w:r>
    </w:p>
    <w:p w:rsidR="00873A63" w:rsidRDefault="00873A63" w:rsidP="00873A63"/>
    <w:p w:rsidR="00873A63" w:rsidRDefault="00873A63" w:rsidP="00873A63">
      <w:r>
        <w:t xml:space="preserve">This year the Summer Reading Program had a different format. In the past, students were asked to submit written essays that were collected at the discussion sessions and made available to FSP instructors. Very few instructors chose to read them and use them in their classes, and most students were left without feedback. </w:t>
      </w:r>
    </w:p>
    <w:p w:rsidR="00873A63" w:rsidRDefault="00873A63" w:rsidP="00873A63">
      <w:r>
        <w:t xml:space="preserve">This year Summer Reading became a Pass/Fail grade on students’ transcript. Students were asked to post their essays on a discussion forum on Canvas. The posts were visible by all students in their FSP section, as well as the summer reading discussion facilitator. Students were also asked to post thoughtful replies to two other essays.  This way everybody got feedback on their essays, and the facilitators were only required to check that the essays were posted. Having the essays available in advance was also helpful in preparing the discussion session. </w:t>
      </w:r>
    </w:p>
    <w:p w:rsidR="00873A63" w:rsidRDefault="00873A63" w:rsidP="00873A63">
      <w:r>
        <w:t xml:space="preserve">Tom </w:t>
      </w:r>
      <w:proofErr w:type="spellStart"/>
      <w:r>
        <w:t>Hagedorn</w:t>
      </w:r>
      <w:proofErr w:type="spellEnd"/>
      <w:r>
        <w:t xml:space="preserve">, who, as coordinator of the FSP program, is in charge of the Summer Reading program as well, reported at our last meeting that the new format was well received by students and facilitators alike. </w:t>
      </w:r>
    </w:p>
    <w:p w:rsidR="00873A63" w:rsidRDefault="00873A63" w:rsidP="00873A63"/>
    <w:p w:rsidR="00873A63" w:rsidRDefault="00873A63" w:rsidP="00873A63">
      <w:r>
        <w:t xml:space="preserve">The CICPC is now in the last stages of organizing the Community Learning Day, which will be held on Wednesday, October 6, and will feature speaker Jonathan M. Katz, the author of the summer reading, as well as other programs. Announcements to the entire campus community will go out shortly. </w:t>
      </w:r>
    </w:p>
    <w:p w:rsidR="00873A63" w:rsidRDefault="00873A63" w:rsidP="00873A63"/>
    <w:p w:rsidR="00873A63" w:rsidRDefault="00873A63" w:rsidP="00873A63">
      <w:r>
        <w:t>While coordinating this year’s programming, we are also planning for the future. We need to select the summer reading book for next year, and intellectual themes for the following years. Next year’s intellectual theme is “Justice”, to commemorate the 50th anniversaries of civil rights legislation and voter's rights legislation. A call went out to faculty for suggestions of summer reading books and programming related to the theme. The same call asked for suggestions for intellectual themes for 2015-2016 and 2016-2017. The deadline for submitting suggestions is October 9.</w:t>
      </w:r>
    </w:p>
    <w:p w:rsidR="00873A63" w:rsidRDefault="00873A63" w:rsidP="00873A63"/>
    <w:p w:rsidR="00873A63" w:rsidRDefault="00873A63" w:rsidP="00873A63">
      <w:r>
        <w:t>Finally, this year the CICPC is also planning to formulate the goals of the Summer Reading Program.</w:t>
      </w:r>
    </w:p>
    <w:p w:rsidR="00873A63" w:rsidRDefault="00873A63" w:rsidP="00873A63"/>
    <w:p w:rsidR="00873A63" w:rsidRPr="00E1361A" w:rsidRDefault="00873A63" w:rsidP="00873A63">
      <w:pPr>
        <w:rPr>
          <w:rFonts w:asciiTheme="majorHAnsi" w:hAnsiTheme="majorHAnsi"/>
        </w:rPr>
      </w:pPr>
    </w:p>
    <w:p w:rsidR="00873A63" w:rsidRDefault="00873A63" w:rsidP="00873A63"/>
    <w:p w:rsidR="00873A63" w:rsidRPr="0084381B" w:rsidRDefault="00873A63" w:rsidP="00873A63">
      <w:r>
        <w:t xml:space="preserve"> </w:t>
      </w:r>
    </w:p>
    <w:p w:rsidR="00500434" w:rsidRDefault="00500434">
      <w:pPr>
        <w:rPr>
          <w:sz w:val="22"/>
          <w:szCs w:val="22"/>
        </w:rPr>
      </w:pPr>
      <w:r>
        <w:rPr>
          <w:sz w:val="22"/>
          <w:szCs w:val="22"/>
        </w:rPr>
        <w:br w:type="page"/>
      </w:r>
    </w:p>
    <w:p w:rsidR="00873A63" w:rsidRDefault="00500434" w:rsidP="00C976CD">
      <w:pPr>
        <w:rPr>
          <w:sz w:val="22"/>
          <w:szCs w:val="22"/>
        </w:rPr>
      </w:pPr>
      <w:r>
        <w:rPr>
          <w:sz w:val="22"/>
          <w:szCs w:val="22"/>
        </w:rPr>
        <w:lastRenderedPageBreak/>
        <w:t>Appendix 3</w:t>
      </w:r>
    </w:p>
    <w:p w:rsidR="00500434" w:rsidRDefault="00500434" w:rsidP="00C976CD">
      <w:pPr>
        <w:rPr>
          <w:sz w:val="22"/>
          <w:szCs w:val="22"/>
        </w:rPr>
      </w:pPr>
    </w:p>
    <w:p w:rsidR="00500434" w:rsidRDefault="00500434" w:rsidP="00500434">
      <w:pPr>
        <w:jc w:val="center"/>
        <w:rPr>
          <w:rFonts w:ascii="Times" w:hAnsi="Times" w:cs="Times"/>
          <w:b/>
          <w:sz w:val="28"/>
        </w:rPr>
      </w:pPr>
      <w:r>
        <w:rPr>
          <w:rFonts w:ascii="Times" w:hAnsi="Times" w:cs="Times"/>
          <w:b/>
          <w:sz w:val="28"/>
        </w:rPr>
        <w:t>Board of Trustees Meeting of 07/09/2013</w:t>
      </w:r>
    </w:p>
    <w:p w:rsidR="00500434" w:rsidRDefault="00500434" w:rsidP="00500434">
      <w:pPr>
        <w:jc w:val="center"/>
        <w:rPr>
          <w:rFonts w:ascii="Times" w:hAnsi="Times" w:cs="Times"/>
          <w:b/>
          <w:sz w:val="28"/>
        </w:rPr>
      </w:pPr>
      <w:r>
        <w:rPr>
          <w:rFonts w:ascii="Times" w:hAnsi="Times" w:cs="Times"/>
          <w:b/>
          <w:sz w:val="28"/>
        </w:rPr>
        <w:t xml:space="preserve">Report </w:t>
      </w:r>
    </w:p>
    <w:p w:rsidR="00500434" w:rsidRDefault="00500434" w:rsidP="00500434">
      <w:pPr>
        <w:jc w:val="center"/>
        <w:rPr>
          <w:rFonts w:ascii="Times" w:hAnsi="Times" w:cs="Times"/>
          <w:b/>
          <w:sz w:val="20"/>
        </w:rPr>
      </w:pPr>
      <w:r>
        <w:rPr>
          <w:rFonts w:ascii="Times" w:hAnsi="Times" w:cs="Times"/>
          <w:b/>
          <w:sz w:val="20"/>
        </w:rPr>
        <w:t xml:space="preserve">to </w:t>
      </w:r>
    </w:p>
    <w:p w:rsidR="00500434" w:rsidRDefault="00500434" w:rsidP="00500434">
      <w:pPr>
        <w:jc w:val="center"/>
        <w:rPr>
          <w:rFonts w:ascii="Times" w:hAnsi="Times" w:cs="Times"/>
          <w:b/>
          <w:sz w:val="20"/>
        </w:rPr>
      </w:pPr>
      <w:r>
        <w:rPr>
          <w:rFonts w:ascii="Times" w:hAnsi="Times" w:cs="Times"/>
          <w:b/>
          <w:sz w:val="20"/>
        </w:rPr>
        <w:t>Faculty Senate</w:t>
      </w:r>
    </w:p>
    <w:p w:rsidR="00500434" w:rsidRDefault="00500434" w:rsidP="00500434">
      <w:pPr>
        <w:jc w:val="center"/>
        <w:rPr>
          <w:rFonts w:ascii="Times" w:hAnsi="Times" w:cs="Times"/>
          <w:sz w:val="20"/>
        </w:rPr>
      </w:pPr>
      <w:r>
        <w:rPr>
          <w:rFonts w:ascii="Times" w:hAnsi="Times" w:cs="Times"/>
          <w:sz w:val="20"/>
        </w:rPr>
        <w:t xml:space="preserve">M. </w:t>
      </w:r>
      <w:proofErr w:type="spellStart"/>
      <w:r>
        <w:rPr>
          <w:rFonts w:ascii="Times" w:hAnsi="Times" w:cs="Times"/>
          <w:sz w:val="20"/>
        </w:rPr>
        <w:t>Martinovic</w:t>
      </w:r>
      <w:proofErr w:type="spellEnd"/>
    </w:p>
    <w:p w:rsidR="00500434" w:rsidRDefault="00500434" w:rsidP="00500434">
      <w:pPr>
        <w:jc w:val="center"/>
        <w:rPr>
          <w:rFonts w:ascii="Times" w:hAnsi="Times" w:cs="Times"/>
          <w:sz w:val="20"/>
        </w:rPr>
      </w:pPr>
    </w:p>
    <w:p w:rsidR="00500434" w:rsidRDefault="00500434" w:rsidP="00500434">
      <w:pPr>
        <w:pStyle w:val="NormalWeb"/>
        <w:spacing w:before="2" w:after="2"/>
        <w:rPr>
          <w:rFonts w:ascii="Times New Roman" w:eastAsia="Times New Roman" w:hAnsi="Times New Roman"/>
          <w:sz w:val="24"/>
          <w:szCs w:val="24"/>
        </w:rPr>
      </w:pPr>
      <w:r>
        <w:rPr>
          <w:rFonts w:ascii="Times New Roman" w:eastAsia="Times New Roman" w:hAnsi="Times New Roman"/>
          <w:sz w:val="24"/>
          <w:szCs w:val="24"/>
        </w:rPr>
        <w:t>The following BOT committees met on 07/09/13: College Advancement Committee; Student Life &amp; Enrollment Management Committee; Academic Affairs Committee; Buildings &amp; Grounds Committee; Finance &amp; Investments. Audit, Risk Management &amp; Compliance Committee did not meet on 07/09/13. The public session was held 4-5pm in 212 Education Building.</w:t>
      </w:r>
    </w:p>
    <w:p w:rsidR="00500434" w:rsidRDefault="00500434" w:rsidP="00500434">
      <w:pPr>
        <w:pStyle w:val="NormalWeb"/>
        <w:spacing w:before="2" w:after="2"/>
        <w:rPr>
          <w:rFonts w:ascii="Times New Roman" w:eastAsia="Times New Roman" w:hAnsi="Times New Roman"/>
          <w:sz w:val="24"/>
          <w:szCs w:val="24"/>
        </w:rPr>
      </w:pPr>
    </w:p>
    <w:p w:rsidR="00500434" w:rsidRDefault="00500434" w:rsidP="00500434">
      <w:pPr>
        <w:pStyle w:val="NormalWeb"/>
        <w:spacing w:before="2" w:after="2"/>
        <w:rPr>
          <w:rFonts w:ascii="Times New Roman" w:eastAsia="Times New Roman" w:hAnsi="Times New Roman"/>
          <w:sz w:val="24"/>
          <w:szCs w:val="24"/>
        </w:rPr>
      </w:pPr>
    </w:p>
    <w:p w:rsidR="00500434" w:rsidRDefault="00500434" w:rsidP="00500434">
      <w:pPr>
        <w:pStyle w:val="NormalWeb"/>
        <w:spacing w:before="2" w:after="2"/>
        <w:rPr>
          <w:rFonts w:eastAsiaTheme="minorEastAsia"/>
          <w:b/>
          <w:i/>
          <w:sz w:val="24"/>
        </w:rPr>
      </w:pPr>
      <w:r>
        <w:rPr>
          <w:b/>
          <w:i/>
          <w:sz w:val="24"/>
        </w:rPr>
        <w:t>College Advancement Committee:</w:t>
      </w:r>
    </w:p>
    <w:p w:rsidR="00500434" w:rsidRDefault="00500434" w:rsidP="00500434">
      <w:pPr>
        <w:pStyle w:val="NormalWeb"/>
        <w:spacing w:before="2" w:after="2"/>
        <w:rPr>
          <w:b/>
          <w:sz w:val="24"/>
        </w:rPr>
      </w:pPr>
    </w:p>
    <w:p w:rsidR="00500434" w:rsidRDefault="00500434" w:rsidP="00500434">
      <w:pPr>
        <w:widowControl w:val="0"/>
        <w:autoSpaceDE w:val="0"/>
        <w:autoSpaceDN w:val="0"/>
        <w:adjustRightInd w:val="0"/>
        <w:rPr>
          <w:rFonts w:ascii="Garamond" w:hAnsi="Garamond" w:cs="Garamond"/>
          <w:b/>
          <w:bCs/>
          <w:color w:val="000000"/>
          <w:sz w:val="23"/>
          <w:szCs w:val="23"/>
        </w:rPr>
      </w:pPr>
      <w:r>
        <w:rPr>
          <w:rFonts w:ascii="'BàˇøÚ‹" w:hAnsi="'BàˇøÚ‹" w:cs="'BàˇøÚ‹"/>
          <w:sz w:val="20"/>
          <w:szCs w:val="20"/>
        </w:rPr>
        <w:tab/>
      </w:r>
      <w:r>
        <w:rPr>
          <w:b/>
          <w:sz w:val="22"/>
          <w:szCs w:val="22"/>
        </w:rPr>
        <w:t>Reports</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Fundraising</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TCNJ Foundation</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Alumni Affairs</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Community Relations</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Charitable Giving</w:t>
      </w:r>
    </w:p>
    <w:p w:rsidR="00500434" w:rsidRDefault="00500434" w:rsidP="00500434">
      <w:pPr>
        <w:widowControl w:val="0"/>
        <w:autoSpaceDE w:val="0"/>
        <w:autoSpaceDN w:val="0"/>
        <w:adjustRightInd w:val="0"/>
        <w:rPr>
          <w:rFonts w:ascii="'BàˇøÚ‹" w:hAnsi="'BàˇøÚ‹" w:cs="'BàˇøÚ‹"/>
          <w:sz w:val="20"/>
          <w:szCs w:val="20"/>
        </w:rPr>
      </w:pPr>
    </w:p>
    <w:p w:rsidR="00500434" w:rsidRDefault="00500434" w:rsidP="00500434">
      <w:pPr>
        <w:widowControl w:val="0"/>
        <w:autoSpaceDE w:val="0"/>
        <w:autoSpaceDN w:val="0"/>
        <w:adjustRightInd w:val="0"/>
        <w:rPr>
          <w:rFonts w:ascii="Garamond" w:hAnsi="Garamond" w:cs="Garamond"/>
          <w:b/>
          <w:bCs/>
          <w:color w:val="000000"/>
          <w:sz w:val="23"/>
          <w:szCs w:val="23"/>
        </w:rPr>
      </w:pPr>
      <w:r>
        <w:rPr>
          <w:rFonts w:ascii="'BàˇøÚ‹" w:hAnsi="'BàˇøÚ‹" w:cs="'BàˇøÚ‹"/>
          <w:sz w:val="20"/>
          <w:szCs w:val="20"/>
        </w:rPr>
        <w:tab/>
      </w:r>
      <w:r>
        <w:rPr>
          <w:b/>
          <w:sz w:val="22"/>
          <w:szCs w:val="22"/>
        </w:rPr>
        <w:t>Discussion Items</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TCNJ STEM Initiative</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TCNJ TRIO Partnership</w:t>
      </w:r>
    </w:p>
    <w:p w:rsidR="00500434" w:rsidRDefault="00500434" w:rsidP="00500434">
      <w:pPr>
        <w:widowControl w:val="0"/>
        <w:autoSpaceDE w:val="0"/>
        <w:autoSpaceDN w:val="0"/>
        <w:adjustRightInd w:val="0"/>
        <w:rPr>
          <w:rFonts w:ascii="'BàˇøÚ‹" w:hAnsi="'BàˇøÚ‹" w:cs="'BàˇøÚ‹"/>
          <w:sz w:val="20"/>
          <w:szCs w:val="20"/>
        </w:rPr>
      </w:pPr>
    </w:p>
    <w:p w:rsidR="00500434" w:rsidRDefault="00500434" w:rsidP="00500434">
      <w:pPr>
        <w:widowControl w:val="0"/>
        <w:autoSpaceDE w:val="0"/>
        <w:autoSpaceDN w:val="0"/>
        <w:adjustRightInd w:val="0"/>
        <w:ind w:firstLine="720"/>
        <w:rPr>
          <w:rFonts w:ascii="'BàˇøÚ‹" w:hAnsi="'BàˇøÚ‹" w:cs="'BàˇøÚ‹"/>
        </w:rPr>
      </w:pPr>
    </w:p>
    <w:p w:rsidR="00500434" w:rsidRDefault="00500434" w:rsidP="00500434">
      <w:pPr>
        <w:pStyle w:val="NormalWeb"/>
        <w:spacing w:before="2" w:after="2"/>
        <w:rPr>
          <w:b/>
          <w:i/>
          <w:sz w:val="24"/>
        </w:rPr>
      </w:pPr>
      <w:r>
        <w:rPr>
          <w:b/>
          <w:i/>
          <w:sz w:val="24"/>
        </w:rPr>
        <w:t>Student Life &amp; Enrollment Management Committee:</w:t>
      </w:r>
    </w:p>
    <w:p w:rsidR="00500434" w:rsidRDefault="00500434" w:rsidP="00500434">
      <w:pPr>
        <w:pStyle w:val="NormalWeb"/>
        <w:spacing w:before="2" w:after="2"/>
        <w:rPr>
          <w:b/>
          <w:sz w:val="24"/>
        </w:rPr>
      </w:pPr>
    </w:p>
    <w:p w:rsidR="00500434" w:rsidRDefault="00500434" w:rsidP="00500434">
      <w:pPr>
        <w:widowControl w:val="0"/>
        <w:autoSpaceDE w:val="0"/>
        <w:autoSpaceDN w:val="0"/>
        <w:adjustRightInd w:val="0"/>
        <w:rPr>
          <w:rFonts w:ascii="Garamond" w:hAnsi="Garamond" w:cs="Garamond"/>
          <w:b/>
          <w:bCs/>
          <w:color w:val="000000"/>
          <w:sz w:val="23"/>
          <w:szCs w:val="23"/>
        </w:rPr>
      </w:pPr>
      <w:r>
        <w:rPr>
          <w:rFonts w:ascii="'BàˇøÚ‹" w:hAnsi="'BàˇøÚ‹" w:cs="'BàˇøÚ‹"/>
          <w:sz w:val="20"/>
          <w:szCs w:val="20"/>
        </w:rPr>
        <w:tab/>
      </w:r>
      <w:r>
        <w:rPr>
          <w:b/>
          <w:sz w:val="22"/>
          <w:szCs w:val="22"/>
        </w:rPr>
        <w:t>Action Item</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Resolution for Graduate Student Conduct Code Adoption</w:t>
      </w:r>
    </w:p>
    <w:p w:rsidR="00500434" w:rsidRDefault="00500434" w:rsidP="00500434">
      <w:pPr>
        <w:widowControl w:val="0"/>
        <w:autoSpaceDE w:val="0"/>
        <w:autoSpaceDN w:val="0"/>
        <w:adjustRightInd w:val="0"/>
        <w:rPr>
          <w:rFonts w:ascii="'BàˇøÚ‹" w:hAnsi="'BàˇøÚ‹" w:cs="'BàˇøÚ‹"/>
          <w:sz w:val="20"/>
          <w:szCs w:val="20"/>
        </w:rPr>
      </w:pPr>
    </w:p>
    <w:p w:rsidR="00500434" w:rsidRDefault="00500434" w:rsidP="00500434">
      <w:pPr>
        <w:widowControl w:val="0"/>
        <w:autoSpaceDE w:val="0"/>
        <w:autoSpaceDN w:val="0"/>
        <w:adjustRightInd w:val="0"/>
        <w:rPr>
          <w:rFonts w:ascii="Garamond" w:hAnsi="Garamond" w:cs="Garamond"/>
          <w:b/>
          <w:bCs/>
          <w:color w:val="000000"/>
          <w:sz w:val="23"/>
          <w:szCs w:val="23"/>
        </w:rPr>
      </w:pPr>
      <w:r>
        <w:rPr>
          <w:rFonts w:ascii="'BàˇøÚ‹" w:hAnsi="'BàˇøÚ‹" w:cs="'BàˇøÚ‹"/>
          <w:sz w:val="20"/>
          <w:szCs w:val="20"/>
        </w:rPr>
        <w:tab/>
      </w:r>
      <w:r>
        <w:rPr>
          <w:b/>
          <w:sz w:val="22"/>
          <w:szCs w:val="22"/>
        </w:rPr>
        <w:t>Reports</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Search for VP for Student Affairs</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Brower Student Center</w:t>
      </w:r>
    </w:p>
    <w:p w:rsidR="00500434" w:rsidRDefault="00500434" w:rsidP="00500434">
      <w:pPr>
        <w:pStyle w:val="ListParagraph"/>
        <w:widowControl w:val="0"/>
        <w:numPr>
          <w:ilvl w:val="0"/>
          <w:numId w:val="24"/>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College Enhancement Internship Program Expansion</w:t>
      </w:r>
    </w:p>
    <w:p w:rsidR="00500434" w:rsidRDefault="00500434" w:rsidP="00500434">
      <w:pPr>
        <w:pStyle w:val="NormalWeb"/>
        <w:spacing w:before="2" w:after="2"/>
        <w:rPr>
          <w:rFonts w:ascii="'BàˇøÚ‹" w:hAnsi="'BàˇøÚ‹" w:cs="'BàˇøÚ‹"/>
        </w:rPr>
      </w:pPr>
    </w:p>
    <w:p w:rsidR="00500434" w:rsidRDefault="00500434" w:rsidP="00500434">
      <w:pPr>
        <w:pStyle w:val="NormalWeb"/>
        <w:spacing w:before="2" w:after="2"/>
        <w:rPr>
          <w:rFonts w:ascii="'BàˇøÚ‹" w:hAnsi="'BàˇøÚ‹" w:cs="'BàˇøÚ‹"/>
        </w:rPr>
      </w:pPr>
    </w:p>
    <w:p w:rsidR="00500434" w:rsidRDefault="00500434" w:rsidP="00500434">
      <w:pPr>
        <w:pStyle w:val="NormalWeb"/>
        <w:spacing w:before="2" w:after="2"/>
        <w:rPr>
          <w:b/>
          <w:i/>
          <w:sz w:val="24"/>
        </w:rPr>
      </w:pPr>
      <w:r>
        <w:rPr>
          <w:b/>
          <w:i/>
          <w:sz w:val="24"/>
        </w:rPr>
        <w:t>Buildings &amp; Grounds Committee:</w:t>
      </w:r>
    </w:p>
    <w:p w:rsidR="00500434" w:rsidRDefault="00500434" w:rsidP="00500434">
      <w:pPr>
        <w:widowControl w:val="0"/>
        <w:autoSpaceDE w:val="0"/>
        <w:autoSpaceDN w:val="0"/>
        <w:adjustRightInd w:val="0"/>
        <w:rPr>
          <w:rFonts w:ascii="'BàˇøÚ‹" w:hAnsi="'BàˇøÚ‹" w:cs="'BàˇøÚ‹"/>
          <w:sz w:val="20"/>
          <w:szCs w:val="20"/>
        </w:rPr>
      </w:pPr>
    </w:p>
    <w:p w:rsidR="00500434" w:rsidRDefault="00500434" w:rsidP="00500434">
      <w:pPr>
        <w:widowControl w:val="0"/>
        <w:autoSpaceDE w:val="0"/>
        <w:autoSpaceDN w:val="0"/>
        <w:adjustRightInd w:val="0"/>
        <w:rPr>
          <w:rFonts w:ascii="Garamond" w:hAnsi="Garamond" w:cs="Garamond"/>
          <w:b/>
          <w:bCs/>
          <w:color w:val="000000"/>
          <w:sz w:val="23"/>
          <w:szCs w:val="23"/>
        </w:rPr>
      </w:pPr>
      <w:r>
        <w:rPr>
          <w:rFonts w:ascii="'BàˇøÚ‹" w:hAnsi="'BàˇøÚ‹" w:cs="'BàˇøÚ‹"/>
          <w:sz w:val="20"/>
          <w:szCs w:val="20"/>
        </w:rPr>
        <w:tab/>
      </w:r>
      <w:r>
        <w:rPr>
          <w:b/>
          <w:sz w:val="22"/>
          <w:szCs w:val="22"/>
        </w:rPr>
        <w:t xml:space="preserve">Resolution for </w:t>
      </w:r>
      <w:r>
        <w:rPr>
          <w:rFonts w:ascii="Garamond" w:hAnsi="Garamond" w:cs="Garamond"/>
          <w:b/>
          <w:bCs/>
          <w:color w:val="000000"/>
          <w:sz w:val="23"/>
          <w:szCs w:val="23"/>
        </w:rPr>
        <w:t>Waivers of Advertising Approval</w:t>
      </w:r>
    </w:p>
    <w:p w:rsidR="00500434" w:rsidRDefault="00500434" w:rsidP="00500434">
      <w:pPr>
        <w:pStyle w:val="ListParagraph"/>
        <w:widowControl w:val="0"/>
        <w:numPr>
          <w:ilvl w:val="0"/>
          <w:numId w:val="25"/>
        </w:numPr>
        <w:autoSpaceDE w:val="0"/>
        <w:autoSpaceDN w:val="0"/>
        <w:adjustRightInd w:val="0"/>
        <w:spacing w:beforeLines="1" w:before="2"/>
        <w:rPr>
          <w:rFonts w:ascii="ÿÀˇøàw≈'1" w:hAnsi="ÿÀˇøàw≈'1" w:cs="ÿÀˇøàw≈'1"/>
          <w:sz w:val="20"/>
          <w:szCs w:val="20"/>
        </w:rPr>
      </w:pPr>
      <w:r>
        <w:rPr>
          <w:rFonts w:ascii="ÿÀˇøàw≈'1" w:hAnsi="ÿÀˇøàw≈'1" w:cs="ÿÀˇøàw≈'1"/>
          <w:sz w:val="20"/>
          <w:szCs w:val="20"/>
        </w:rPr>
        <w:t xml:space="preserve">Design Resources Group (design services related to the </w:t>
      </w:r>
      <w:proofErr w:type="spellStart"/>
      <w:r>
        <w:rPr>
          <w:rFonts w:ascii="ÿÀˇøàw≈'1" w:hAnsi="ÿÀˇøàw≈'1" w:cs="ÿÀˇøàw≈'1"/>
          <w:sz w:val="20"/>
          <w:szCs w:val="20"/>
        </w:rPr>
        <w:t>Norsworthy</w:t>
      </w:r>
      <w:proofErr w:type="spellEnd"/>
      <w:r>
        <w:rPr>
          <w:rFonts w:ascii="ÿÀˇøàw≈'1" w:hAnsi="ÿÀˇøàw≈'1" w:cs="ÿÀˇøàw≈'1"/>
          <w:sz w:val="20"/>
          <w:szCs w:val="20"/>
        </w:rPr>
        <w:t xml:space="preserve"> Hall Renovation and Building Envelope Project)</w:t>
      </w:r>
    </w:p>
    <w:p w:rsidR="00500434" w:rsidRDefault="00500434" w:rsidP="00500434">
      <w:pPr>
        <w:pStyle w:val="ListParagraph"/>
        <w:widowControl w:val="0"/>
        <w:numPr>
          <w:ilvl w:val="0"/>
          <w:numId w:val="25"/>
        </w:numPr>
        <w:autoSpaceDE w:val="0"/>
        <w:autoSpaceDN w:val="0"/>
        <w:adjustRightInd w:val="0"/>
        <w:spacing w:beforeLines="1" w:before="2"/>
        <w:rPr>
          <w:rFonts w:ascii="ÿÀˇøàw≈'1" w:hAnsi="ÿÀˇøàw≈'1" w:cs="ÿÀˇøàw≈'1"/>
          <w:sz w:val="20"/>
          <w:szCs w:val="20"/>
        </w:rPr>
      </w:pPr>
      <w:proofErr w:type="spellStart"/>
      <w:r>
        <w:rPr>
          <w:rFonts w:ascii="ÿÀˇøàw≈'1" w:hAnsi="ÿÀˇøàw≈'1" w:cs="ÿÀˇøàw≈'1"/>
          <w:sz w:val="20"/>
          <w:szCs w:val="20"/>
        </w:rPr>
        <w:t>Einhorn</w:t>
      </w:r>
      <w:proofErr w:type="spellEnd"/>
      <w:r>
        <w:rPr>
          <w:rFonts w:ascii="ÿÀˇøàw≈'1" w:hAnsi="ÿÀˇøàw≈'1" w:cs="ÿÀˇøàw≈'1"/>
          <w:sz w:val="20"/>
          <w:szCs w:val="20"/>
        </w:rPr>
        <w:t xml:space="preserve"> </w:t>
      </w:r>
      <w:proofErr w:type="spellStart"/>
      <w:r>
        <w:rPr>
          <w:rFonts w:ascii="ÿÀˇøàw≈'1" w:hAnsi="ÿÀˇøàw≈'1" w:cs="ÿÀˇøàw≈'1"/>
          <w:sz w:val="20"/>
          <w:szCs w:val="20"/>
        </w:rPr>
        <w:t>Yaffee</w:t>
      </w:r>
      <w:proofErr w:type="spellEnd"/>
      <w:r>
        <w:rPr>
          <w:rFonts w:ascii="ÿÀˇøàw≈'1" w:hAnsi="ÿÀˇøàw≈'1" w:cs="ÿÀˇøàw≈'1"/>
          <w:sz w:val="20"/>
          <w:szCs w:val="20"/>
        </w:rPr>
        <w:t xml:space="preserve"> Prescott (design services related to the STEM Building Project)</w:t>
      </w:r>
    </w:p>
    <w:p w:rsidR="00500434" w:rsidRDefault="00500434" w:rsidP="00500434">
      <w:pPr>
        <w:pStyle w:val="ListParagraph"/>
        <w:widowControl w:val="0"/>
        <w:numPr>
          <w:ilvl w:val="0"/>
          <w:numId w:val="25"/>
        </w:numPr>
        <w:autoSpaceDE w:val="0"/>
        <w:autoSpaceDN w:val="0"/>
        <w:adjustRightInd w:val="0"/>
        <w:spacing w:beforeLines="1" w:before="2"/>
        <w:rPr>
          <w:rFonts w:ascii="ÿÀˇøàw≈'1" w:hAnsi="ÿÀˇøàw≈'1" w:cs="ÿÀˇøàw≈'1"/>
          <w:sz w:val="20"/>
          <w:szCs w:val="20"/>
        </w:rPr>
      </w:pPr>
      <w:r>
        <w:rPr>
          <w:rFonts w:ascii="ÿÀˇøàw≈'1" w:hAnsi="ÿÀˇøàw≈'1" w:cs="ÿÀˇøàw≈'1"/>
          <w:sz w:val="20"/>
          <w:szCs w:val="20"/>
        </w:rPr>
        <w:t>Affiliated Engineers, Inc. (Central Utility Plant Assessment)</w:t>
      </w:r>
    </w:p>
    <w:p w:rsidR="00500434" w:rsidRDefault="00500434" w:rsidP="00500434">
      <w:pPr>
        <w:pStyle w:val="ListParagraph"/>
        <w:widowControl w:val="0"/>
        <w:numPr>
          <w:ilvl w:val="0"/>
          <w:numId w:val="25"/>
        </w:numPr>
        <w:autoSpaceDE w:val="0"/>
        <w:autoSpaceDN w:val="0"/>
        <w:adjustRightInd w:val="0"/>
        <w:spacing w:beforeLines="1" w:before="2"/>
        <w:rPr>
          <w:rFonts w:ascii="ÿÀˇøàw≈'1" w:hAnsi="ÿÀˇøàw≈'1" w:cs="ÿÀˇøàw≈'1"/>
          <w:sz w:val="20"/>
          <w:szCs w:val="20"/>
        </w:rPr>
      </w:pPr>
      <w:proofErr w:type="spellStart"/>
      <w:r>
        <w:rPr>
          <w:rFonts w:ascii="ÿÀˇøàw≈'1" w:hAnsi="ÿÀˇøàw≈'1" w:cs="ÿÀˇøàw≈'1"/>
          <w:sz w:val="20"/>
          <w:szCs w:val="20"/>
        </w:rPr>
        <w:t>Entech</w:t>
      </w:r>
      <w:proofErr w:type="spellEnd"/>
      <w:r>
        <w:rPr>
          <w:rFonts w:ascii="ÿÀˇøàw≈'1" w:hAnsi="ÿÀˇøàw≈'1" w:cs="ÿÀˇøàw≈'1"/>
          <w:sz w:val="20"/>
          <w:szCs w:val="20"/>
        </w:rPr>
        <w:t xml:space="preserve"> Engineering (additional design services related to the Steam Piping Project)</w:t>
      </w:r>
    </w:p>
    <w:p w:rsidR="00500434" w:rsidRDefault="00500434" w:rsidP="00500434">
      <w:pPr>
        <w:pStyle w:val="ListParagraph"/>
        <w:widowControl w:val="0"/>
        <w:numPr>
          <w:ilvl w:val="0"/>
          <w:numId w:val="25"/>
        </w:numPr>
        <w:autoSpaceDE w:val="0"/>
        <w:autoSpaceDN w:val="0"/>
        <w:adjustRightInd w:val="0"/>
        <w:spacing w:beforeLines="1" w:before="2"/>
        <w:rPr>
          <w:rFonts w:ascii="ÿÀˇøàw≈'1" w:hAnsi="ÿÀˇøàw≈'1" w:cs="ÿÀˇøàw≈'1"/>
          <w:sz w:val="20"/>
          <w:szCs w:val="20"/>
        </w:rPr>
      </w:pPr>
      <w:proofErr w:type="spellStart"/>
      <w:r>
        <w:rPr>
          <w:rFonts w:ascii="ÿÀˇøàw≈'1" w:hAnsi="ÿÀˇøàw≈'1" w:cs="ÿÀˇøàw≈'1"/>
          <w:sz w:val="20"/>
          <w:szCs w:val="20"/>
        </w:rPr>
        <w:t>Xcelerated</w:t>
      </w:r>
      <w:proofErr w:type="spellEnd"/>
      <w:r>
        <w:rPr>
          <w:rFonts w:ascii="ÿÀˇøàw≈'1" w:hAnsi="ÿÀˇøàw≈'1" w:cs="ÿÀˇøàw≈'1"/>
          <w:sz w:val="20"/>
          <w:szCs w:val="20"/>
        </w:rPr>
        <w:t xml:space="preserve"> Concepts (design services related to the Library Café Project)</w:t>
      </w:r>
    </w:p>
    <w:p w:rsidR="00500434" w:rsidRDefault="00500434" w:rsidP="00500434">
      <w:pPr>
        <w:pStyle w:val="ListParagraph"/>
        <w:widowControl w:val="0"/>
        <w:numPr>
          <w:ilvl w:val="0"/>
          <w:numId w:val="25"/>
        </w:numPr>
        <w:autoSpaceDE w:val="0"/>
        <w:autoSpaceDN w:val="0"/>
        <w:adjustRightInd w:val="0"/>
        <w:spacing w:beforeLines="1" w:before="2"/>
        <w:rPr>
          <w:rFonts w:ascii="ÿÀˇøàw≈'1" w:hAnsi="ÿÀˇøàw≈'1" w:cs="ÿÀˇøàw≈'1"/>
          <w:sz w:val="20"/>
          <w:szCs w:val="20"/>
        </w:rPr>
      </w:pPr>
      <w:r>
        <w:rPr>
          <w:rFonts w:ascii="ÿÀˇøàw≈'1" w:hAnsi="ÿÀˇøàw≈'1" w:cs="ÿÀˇøàw≈'1"/>
          <w:sz w:val="20"/>
          <w:szCs w:val="20"/>
        </w:rPr>
        <w:t>DLB Associates (additional design services related to the Steam Piping Replacement Project)</w:t>
      </w:r>
    </w:p>
    <w:p w:rsidR="00500434" w:rsidRDefault="00500434" w:rsidP="00500434">
      <w:pPr>
        <w:pStyle w:val="ListParagraph"/>
        <w:widowControl w:val="0"/>
        <w:autoSpaceDE w:val="0"/>
        <w:autoSpaceDN w:val="0"/>
        <w:adjustRightInd w:val="0"/>
        <w:spacing w:before="2"/>
        <w:ind w:left="1440"/>
        <w:rPr>
          <w:rFonts w:ascii="ÿÀˇøàw≈'1" w:hAnsi="ÿÀˇøàw≈'1" w:cs="ÿÀˇøàw≈'1"/>
          <w:sz w:val="20"/>
          <w:szCs w:val="20"/>
        </w:rPr>
      </w:pPr>
    </w:p>
    <w:p w:rsidR="00500434" w:rsidRDefault="00500434" w:rsidP="00500434">
      <w:pPr>
        <w:widowControl w:val="0"/>
        <w:autoSpaceDE w:val="0"/>
        <w:autoSpaceDN w:val="0"/>
        <w:adjustRightInd w:val="0"/>
        <w:rPr>
          <w:b/>
          <w:sz w:val="22"/>
          <w:szCs w:val="22"/>
        </w:rPr>
      </w:pPr>
      <w:r>
        <w:rPr>
          <w:rFonts w:ascii="'BàˇøÚ‹" w:hAnsi="'BàˇøÚ‹" w:cs="'BàˇøÚ‹"/>
          <w:sz w:val="20"/>
          <w:szCs w:val="20"/>
        </w:rPr>
        <w:tab/>
      </w:r>
      <w:r>
        <w:rPr>
          <w:b/>
          <w:sz w:val="22"/>
          <w:szCs w:val="22"/>
        </w:rPr>
        <w:t>Reports</w:t>
      </w:r>
    </w:p>
    <w:p w:rsidR="00500434" w:rsidRDefault="00500434" w:rsidP="00500434">
      <w:pPr>
        <w:pStyle w:val="ListParagraph"/>
        <w:widowControl w:val="0"/>
        <w:numPr>
          <w:ilvl w:val="0"/>
          <w:numId w:val="26"/>
        </w:numPr>
        <w:autoSpaceDE w:val="0"/>
        <w:autoSpaceDN w:val="0"/>
        <w:adjustRightInd w:val="0"/>
        <w:spacing w:beforeLines="1" w:before="2"/>
        <w:rPr>
          <w:bCs/>
          <w:color w:val="000000"/>
          <w:sz w:val="20"/>
          <w:szCs w:val="20"/>
        </w:rPr>
      </w:pPr>
      <w:r>
        <w:rPr>
          <w:bCs/>
          <w:color w:val="000000"/>
          <w:sz w:val="20"/>
          <w:szCs w:val="20"/>
        </w:rPr>
        <w:lastRenderedPageBreak/>
        <w:t>Construction Update</w:t>
      </w:r>
    </w:p>
    <w:p w:rsidR="00500434" w:rsidRDefault="00500434" w:rsidP="00500434">
      <w:pPr>
        <w:widowControl w:val="0"/>
        <w:autoSpaceDE w:val="0"/>
        <w:autoSpaceDN w:val="0"/>
        <w:adjustRightInd w:val="0"/>
        <w:rPr>
          <w:rFonts w:ascii="'BàˇøÚ‹" w:hAnsi="'BàˇøÚ‹" w:cs="'BàˇøÚ‹"/>
          <w:sz w:val="20"/>
          <w:szCs w:val="20"/>
        </w:rPr>
      </w:pPr>
    </w:p>
    <w:p w:rsidR="00500434" w:rsidRDefault="00500434" w:rsidP="00500434">
      <w:pPr>
        <w:widowControl w:val="0"/>
        <w:autoSpaceDE w:val="0"/>
        <w:autoSpaceDN w:val="0"/>
        <w:adjustRightInd w:val="0"/>
        <w:rPr>
          <w:b/>
          <w:sz w:val="22"/>
          <w:szCs w:val="22"/>
        </w:rPr>
      </w:pPr>
      <w:r>
        <w:rPr>
          <w:rFonts w:ascii="'BàˇøÚ‹" w:hAnsi="'BàˇøÚ‹" w:cs="'BàˇøÚ‹"/>
          <w:sz w:val="20"/>
          <w:szCs w:val="20"/>
        </w:rPr>
        <w:tab/>
      </w:r>
      <w:r>
        <w:rPr>
          <w:b/>
          <w:sz w:val="22"/>
          <w:szCs w:val="22"/>
        </w:rPr>
        <w:t>STEM Complex Update</w:t>
      </w:r>
    </w:p>
    <w:p w:rsidR="00500434" w:rsidRDefault="00500434" w:rsidP="00500434">
      <w:pPr>
        <w:pStyle w:val="ListParagraph"/>
        <w:widowControl w:val="0"/>
        <w:numPr>
          <w:ilvl w:val="0"/>
          <w:numId w:val="26"/>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Holman hall relocation (underway)</w:t>
      </w:r>
    </w:p>
    <w:p w:rsidR="00500434" w:rsidRDefault="00500434" w:rsidP="00500434">
      <w:pPr>
        <w:pStyle w:val="ListParagraph"/>
        <w:widowControl w:val="0"/>
        <w:numPr>
          <w:ilvl w:val="0"/>
          <w:numId w:val="26"/>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Holman hall demolition</w:t>
      </w:r>
    </w:p>
    <w:p w:rsidR="00500434" w:rsidRDefault="00500434" w:rsidP="00500434">
      <w:pPr>
        <w:pStyle w:val="ListParagraph"/>
        <w:widowControl w:val="0"/>
        <w:numPr>
          <w:ilvl w:val="0"/>
          <w:numId w:val="26"/>
        </w:numPr>
        <w:autoSpaceDE w:val="0"/>
        <w:autoSpaceDN w:val="0"/>
        <w:adjustRightInd w:val="0"/>
        <w:spacing w:beforeLines="1" w:before="2"/>
        <w:rPr>
          <w:rFonts w:ascii="'BàˇøÚ‹" w:hAnsi="'BàˇøÚ‹" w:cs="'BàˇøÚ‹"/>
          <w:sz w:val="20"/>
          <w:szCs w:val="20"/>
        </w:rPr>
      </w:pPr>
      <w:r>
        <w:rPr>
          <w:rFonts w:ascii="'BàˇøÚ‹" w:hAnsi="'BàˇøÚ‹" w:cs="'BàˇøÚ‹"/>
          <w:sz w:val="20"/>
          <w:szCs w:val="20"/>
        </w:rPr>
        <w:t>STEM complex programming on schedule and underway</w:t>
      </w:r>
    </w:p>
    <w:p w:rsidR="00500434" w:rsidRDefault="00500434" w:rsidP="00500434">
      <w:pPr>
        <w:widowControl w:val="0"/>
        <w:autoSpaceDE w:val="0"/>
        <w:autoSpaceDN w:val="0"/>
        <w:adjustRightInd w:val="0"/>
        <w:rPr>
          <w:rFonts w:ascii="'BàˇøÚ‹" w:hAnsi="'BàˇøÚ‹" w:cs="'BàˇøÚ‹"/>
          <w:sz w:val="20"/>
          <w:szCs w:val="20"/>
        </w:rPr>
      </w:pPr>
    </w:p>
    <w:p w:rsidR="00500434" w:rsidRDefault="00500434" w:rsidP="00500434">
      <w:pPr>
        <w:widowControl w:val="0"/>
        <w:autoSpaceDE w:val="0"/>
        <w:autoSpaceDN w:val="0"/>
        <w:adjustRightInd w:val="0"/>
        <w:rPr>
          <w:b/>
          <w:sz w:val="22"/>
          <w:szCs w:val="22"/>
        </w:rPr>
      </w:pPr>
      <w:r>
        <w:rPr>
          <w:rFonts w:ascii="'BàˇøÚ‹" w:hAnsi="'BàˇøÚ‹" w:cs="'BàˇøÚ‹"/>
          <w:sz w:val="20"/>
          <w:szCs w:val="20"/>
        </w:rPr>
        <w:tab/>
      </w:r>
      <w:r>
        <w:rPr>
          <w:b/>
          <w:sz w:val="22"/>
          <w:szCs w:val="22"/>
        </w:rPr>
        <w:t>Campus Town Update</w:t>
      </w:r>
    </w:p>
    <w:p w:rsidR="00500434" w:rsidRDefault="00500434" w:rsidP="00500434">
      <w:pPr>
        <w:pStyle w:val="ListParagraph"/>
        <w:widowControl w:val="0"/>
        <w:numPr>
          <w:ilvl w:val="0"/>
          <w:numId w:val="26"/>
        </w:numPr>
        <w:autoSpaceDE w:val="0"/>
        <w:autoSpaceDN w:val="0"/>
        <w:adjustRightInd w:val="0"/>
        <w:spacing w:beforeLines="1" w:before="2"/>
        <w:rPr>
          <w:sz w:val="22"/>
          <w:szCs w:val="22"/>
        </w:rPr>
      </w:pPr>
      <w:r>
        <w:rPr>
          <w:sz w:val="20"/>
          <w:szCs w:val="20"/>
        </w:rPr>
        <w:t>1/1/14: Construction begins</w:t>
      </w:r>
    </w:p>
    <w:p w:rsidR="00500434" w:rsidRDefault="00500434" w:rsidP="00500434">
      <w:pPr>
        <w:pStyle w:val="ListParagraph"/>
        <w:widowControl w:val="0"/>
        <w:numPr>
          <w:ilvl w:val="0"/>
          <w:numId w:val="26"/>
        </w:numPr>
        <w:autoSpaceDE w:val="0"/>
        <w:autoSpaceDN w:val="0"/>
        <w:adjustRightInd w:val="0"/>
        <w:spacing w:beforeLines="1" w:before="2"/>
        <w:rPr>
          <w:sz w:val="22"/>
          <w:szCs w:val="22"/>
        </w:rPr>
      </w:pPr>
      <w:r>
        <w:rPr>
          <w:sz w:val="20"/>
          <w:szCs w:val="20"/>
        </w:rPr>
        <w:t>6/24/14: Site remediation begins</w:t>
      </w:r>
    </w:p>
    <w:p w:rsidR="00500434" w:rsidRDefault="00500434" w:rsidP="00500434">
      <w:pPr>
        <w:pStyle w:val="ListParagraph"/>
        <w:widowControl w:val="0"/>
        <w:numPr>
          <w:ilvl w:val="0"/>
          <w:numId w:val="26"/>
        </w:numPr>
        <w:autoSpaceDE w:val="0"/>
        <w:autoSpaceDN w:val="0"/>
        <w:adjustRightInd w:val="0"/>
        <w:spacing w:beforeLines="1" w:before="2"/>
        <w:rPr>
          <w:sz w:val="22"/>
          <w:szCs w:val="22"/>
        </w:rPr>
      </w:pPr>
      <w:r>
        <w:rPr>
          <w:sz w:val="20"/>
          <w:szCs w:val="20"/>
        </w:rPr>
        <w:t>10/1/14: Demolition begins</w:t>
      </w:r>
    </w:p>
    <w:p w:rsidR="00500434" w:rsidRDefault="00500434" w:rsidP="00500434">
      <w:pPr>
        <w:pStyle w:val="ListParagraph"/>
        <w:widowControl w:val="0"/>
        <w:numPr>
          <w:ilvl w:val="0"/>
          <w:numId w:val="26"/>
        </w:numPr>
        <w:autoSpaceDE w:val="0"/>
        <w:autoSpaceDN w:val="0"/>
        <w:adjustRightInd w:val="0"/>
        <w:spacing w:beforeLines="1" w:before="2"/>
        <w:rPr>
          <w:sz w:val="22"/>
          <w:szCs w:val="22"/>
        </w:rPr>
      </w:pPr>
      <w:r>
        <w:rPr>
          <w:sz w:val="20"/>
          <w:szCs w:val="20"/>
        </w:rPr>
        <w:t>6/1/15: Occupancy</w:t>
      </w:r>
    </w:p>
    <w:p w:rsidR="00500434" w:rsidRDefault="00500434" w:rsidP="00500434">
      <w:pPr>
        <w:pStyle w:val="NormalWeb"/>
        <w:spacing w:before="2" w:after="2"/>
        <w:rPr>
          <w:rFonts w:ascii="Times New Roman" w:hAnsi="Times New Roman"/>
          <w:sz w:val="22"/>
          <w:szCs w:val="22"/>
        </w:rPr>
      </w:pPr>
    </w:p>
    <w:p w:rsidR="00500434" w:rsidRDefault="00500434" w:rsidP="00500434">
      <w:pPr>
        <w:pStyle w:val="NormalWeb"/>
        <w:spacing w:before="2" w:after="2"/>
        <w:rPr>
          <w:rFonts w:ascii="Garamond" w:hAnsi="Garamond" w:cs="Garamond"/>
          <w:b/>
          <w:bCs/>
          <w:color w:val="000000"/>
          <w:sz w:val="23"/>
          <w:szCs w:val="23"/>
        </w:rPr>
      </w:pPr>
    </w:p>
    <w:p w:rsidR="00500434" w:rsidRDefault="00500434" w:rsidP="00500434">
      <w:pPr>
        <w:pStyle w:val="NormalWeb"/>
        <w:spacing w:before="2" w:after="2"/>
        <w:rPr>
          <w:b/>
          <w:i/>
          <w:sz w:val="24"/>
        </w:rPr>
      </w:pPr>
      <w:r>
        <w:rPr>
          <w:b/>
          <w:i/>
          <w:sz w:val="24"/>
        </w:rPr>
        <w:t>Finance and Investment Committee:</w:t>
      </w:r>
    </w:p>
    <w:p w:rsidR="00500434" w:rsidRDefault="00500434" w:rsidP="00500434">
      <w:pPr>
        <w:widowControl w:val="0"/>
        <w:autoSpaceDE w:val="0"/>
        <w:autoSpaceDN w:val="0"/>
        <w:adjustRightInd w:val="0"/>
        <w:rPr>
          <w:rFonts w:ascii="Garamond" w:hAnsi="Garamond" w:cs="Garamond"/>
          <w:color w:val="000000"/>
        </w:rPr>
      </w:pPr>
    </w:p>
    <w:p w:rsidR="00500434" w:rsidRDefault="00500434" w:rsidP="00500434">
      <w:pPr>
        <w:widowControl w:val="0"/>
        <w:autoSpaceDE w:val="0"/>
        <w:autoSpaceDN w:val="0"/>
        <w:adjustRightInd w:val="0"/>
        <w:ind w:left="540" w:hanging="180"/>
        <w:rPr>
          <w:rFonts w:ascii="Garamond" w:hAnsi="Garamond" w:cs="Garamond"/>
          <w:color w:val="000000"/>
          <w:sz w:val="23"/>
          <w:szCs w:val="23"/>
        </w:rPr>
      </w:pPr>
      <w:r>
        <w:rPr>
          <w:rFonts w:ascii="Garamond" w:hAnsi="Garamond" w:cs="Garamond"/>
          <w:b/>
          <w:bCs/>
          <w:color w:val="000000"/>
          <w:sz w:val="23"/>
          <w:szCs w:val="23"/>
        </w:rPr>
        <w:t xml:space="preserve">Action Items </w:t>
      </w:r>
    </w:p>
    <w:p w:rsidR="00500434" w:rsidRDefault="00500434" w:rsidP="00500434">
      <w:pPr>
        <w:pStyle w:val="ListParagraph"/>
        <w:widowControl w:val="0"/>
        <w:numPr>
          <w:ilvl w:val="0"/>
          <w:numId w:val="27"/>
        </w:numPr>
        <w:autoSpaceDE w:val="0"/>
        <w:autoSpaceDN w:val="0"/>
        <w:adjustRightInd w:val="0"/>
        <w:spacing w:beforeLines="1" w:before="2"/>
        <w:rPr>
          <w:rFonts w:ascii="Garamond" w:hAnsi="Garamond" w:cs="Garamond"/>
          <w:color w:val="000000"/>
          <w:sz w:val="23"/>
          <w:szCs w:val="23"/>
        </w:rPr>
      </w:pPr>
      <w:r>
        <w:rPr>
          <w:rFonts w:ascii="Garamond" w:hAnsi="Garamond" w:cs="Garamond"/>
          <w:color w:val="000000"/>
          <w:sz w:val="23"/>
          <w:szCs w:val="23"/>
        </w:rPr>
        <w:t>The College of New Jersey Board of Trustees Resolution Approving the College of New Jersey FY 2014 Unrestricted Current Fund Budget and Establishing Student Charges for FY 2014</w:t>
      </w:r>
    </w:p>
    <w:p w:rsidR="00500434" w:rsidRDefault="00500434" w:rsidP="00500434">
      <w:pPr>
        <w:pStyle w:val="ListParagraph"/>
        <w:widowControl w:val="0"/>
        <w:numPr>
          <w:ilvl w:val="0"/>
          <w:numId w:val="27"/>
        </w:numPr>
        <w:autoSpaceDE w:val="0"/>
        <w:autoSpaceDN w:val="0"/>
        <w:adjustRightInd w:val="0"/>
        <w:spacing w:beforeLines="1" w:before="2"/>
        <w:rPr>
          <w:rFonts w:ascii="Garamond" w:hAnsi="Garamond" w:cs="Garamond"/>
          <w:color w:val="000000"/>
          <w:sz w:val="23"/>
          <w:szCs w:val="23"/>
        </w:rPr>
      </w:pPr>
      <w:r>
        <w:rPr>
          <w:rFonts w:ascii="Garamond" w:hAnsi="Garamond" w:cs="Garamond"/>
          <w:color w:val="000000"/>
          <w:sz w:val="23"/>
          <w:szCs w:val="23"/>
        </w:rPr>
        <w:t>Resolution Approving The College of New Jersey Fines, Penalties and Other Charges for Faculty, Staff, Students and Visitors</w:t>
      </w:r>
    </w:p>
    <w:p w:rsidR="00500434" w:rsidRDefault="00500434" w:rsidP="00500434">
      <w:pPr>
        <w:pStyle w:val="ListParagraph"/>
        <w:widowControl w:val="0"/>
        <w:numPr>
          <w:ilvl w:val="0"/>
          <w:numId w:val="27"/>
        </w:numPr>
        <w:autoSpaceDE w:val="0"/>
        <w:autoSpaceDN w:val="0"/>
        <w:adjustRightInd w:val="0"/>
        <w:spacing w:beforeLines="1" w:before="2"/>
        <w:rPr>
          <w:rFonts w:ascii="Garamond" w:hAnsi="Garamond" w:cs="Garamond"/>
          <w:color w:val="000000"/>
          <w:sz w:val="23"/>
          <w:szCs w:val="23"/>
        </w:rPr>
      </w:pPr>
      <w:r>
        <w:rPr>
          <w:rFonts w:ascii="Garamond" w:hAnsi="Garamond" w:cs="Garamond"/>
          <w:color w:val="000000"/>
          <w:sz w:val="23"/>
          <w:szCs w:val="23"/>
        </w:rPr>
        <w:t xml:space="preserve">Resolution Approving Waivers of Advertising for College Business Purposes </w:t>
      </w:r>
    </w:p>
    <w:p w:rsidR="00500434" w:rsidRDefault="00500434" w:rsidP="00500434">
      <w:pPr>
        <w:widowControl w:val="0"/>
        <w:autoSpaceDE w:val="0"/>
        <w:autoSpaceDN w:val="0"/>
        <w:adjustRightInd w:val="0"/>
        <w:ind w:left="1080" w:firstLine="360"/>
        <w:rPr>
          <w:rFonts w:ascii="Garamond" w:hAnsi="Garamond" w:cs="Garamond"/>
          <w:color w:val="000000"/>
          <w:sz w:val="23"/>
          <w:szCs w:val="23"/>
        </w:rPr>
      </w:pPr>
      <w:r>
        <w:rPr>
          <w:rFonts w:ascii="Garamond" w:hAnsi="Garamond" w:cs="Garamond"/>
          <w:color w:val="000000"/>
          <w:sz w:val="23"/>
          <w:szCs w:val="23"/>
        </w:rPr>
        <w:t>College Union Board Waivers</w:t>
      </w:r>
    </w:p>
    <w:p w:rsidR="00500434" w:rsidRDefault="00500434" w:rsidP="00500434">
      <w:pPr>
        <w:widowControl w:val="0"/>
        <w:autoSpaceDE w:val="0"/>
        <w:autoSpaceDN w:val="0"/>
        <w:adjustRightInd w:val="0"/>
        <w:ind w:left="1800" w:hanging="360"/>
        <w:rPr>
          <w:rFonts w:ascii="Wingdings" w:hAnsi="Wingdings" w:cs="Wingdings"/>
          <w:color w:val="000000"/>
          <w:sz w:val="23"/>
          <w:szCs w:val="23"/>
        </w:rPr>
      </w:pPr>
      <w:r>
        <w:rPr>
          <w:rFonts w:ascii="Garamond" w:hAnsi="Garamond" w:cs="Garamond"/>
          <w:color w:val="000000"/>
          <w:sz w:val="23"/>
          <w:szCs w:val="23"/>
        </w:rPr>
        <w:t>Concert Ideas (Fall Concert)</w:t>
      </w:r>
    </w:p>
    <w:p w:rsidR="00500434" w:rsidRDefault="00500434" w:rsidP="00500434">
      <w:pPr>
        <w:widowControl w:val="0"/>
        <w:autoSpaceDE w:val="0"/>
        <w:autoSpaceDN w:val="0"/>
        <w:adjustRightInd w:val="0"/>
        <w:ind w:left="1800" w:hanging="360"/>
        <w:rPr>
          <w:rFonts w:ascii="Wingdings" w:hAnsi="Wingdings" w:cs="Wingdings"/>
          <w:color w:val="000000"/>
          <w:sz w:val="23"/>
          <w:szCs w:val="23"/>
        </w:rPr>
      </w:pPr>
      <w:proofErr w:type="spellStart"/>
      <w:r>
        <w:rPr>
          <w:rFonts w:ascii="Garamond" w:hAnsi="Garamond" w:cs="Garamond"/>
          <w:color w:val="000000"/>
          <w:sz w:val="23"/>
          <w:szCs w:val="23"/>
        </w:rPr>
        <w:t>DiRoma</w:t>
      </w:r>
      <w:proofErr w:type="spellEnd"/>
      <w:r>
        <w:rPr>
          <w:rFonts w:ascii="Garamond" w:hAnsi="Garamond" w:cs="Garamond"/>
          <w:color w:val="000000"/>
          <w:sz w:val="23"/>
          <w:szCs w:val="23"/>
        </w:rPr>
        <w:t xml:space="preserve"> Events T/A Impact Entertainment LLC (Fall Comedy Show)</w:t>
      </w:r>
    </w:p>
    <w:p w:rsidR="00500434" w:rsidRDefault="00500434" w:rsidP="00500434">
      <w:pPr>
        <w:widowControl w:val="0"/>
        <w:autoSpaceDE w:val="0"/>
        <w:autoSpaceDN w:val="0"/>
        <w:adjustRightInd w:val="0"/>
        <w:ind w:left="1800" w:hanging="360"/>
        <w:rPr>
          <w:rFonts w:ascii="Wingdings" w:hAnsi="Wingdings" w:cs="Wingdings"/>
          <w:color w:val="000000"/>
          <w:sz w:val="23"/>
          <w:szCs w:val="23"/>
        </w:rPr>
      </w:pPr>
      <w:r>
        <w:rPr>
          <w:rFonts w:ascii="Garamond" w:hAnsi="Garamond" w:cs="Garamond"/>
          <w:color w:val="000000"/>
          <w:sz w:val="23"/>
          <w:szCs w:val="23"/>
        </w:rPr>
        <w:t>Study Abroad Programs</w:t>
      </w:r>
    </w:p>
    <w:p w:rsidR="00500434" w:rsidRDefault="00500434" w:rsidP="00500434">
      <w:pPr>
        <w:widowControl w:val="0"/>
        <w:autoSpaceDE w:val="0"/>
        <w:autoSpaceDN w:val="0"/>
        <w:adjustRightInd w:val="0"/>
        <w:ind w:left="1800"/>
        <w:rPr>
          <w:rFonts w:ascii="Wingdings" w:hAnsi="Wingdings" w:cs="Wingdings"/>
          <w:color w:val="000000"/>
          <w:sz w:val="23"/>
          <w:szCs w:val="23"/>
        </w:rPr>
      </w:pPr>
      <w:r>
        <w:rPr>
          <w:rFonts w:ascii="Garamond" w:hAnsi="Garamond" w:cs="Garamond"/>
          <w:color w:val="000000"/>
          <w:sz w:val="23"/>
          <w:szCs w:val="23"/>
        </w:rPr>
        <w:t>Foundation of International Education (FIE) – London</w:t>
      </w:r>
    </w:p>
    <w:p w:rsidR="00500434" w:rsidRDefault="00500434" w:rsidP="00500434">
      <w:pPr>
        <w:widowControl w:val="0"/>
        <w:autoSpaceDE w:val="0"/>
        <w:autoSpaceDN w:val="0"/>
        <w:adjustRightInd w:val="0"/>
        <w:ind w:left="1800"/>
        <w:rPr>
          <w:rFonts w:ascii="Garamond" w:hAnsi="Garamond" w:cs="Garamond"/>
          <w:color w:val="000000"/>
          <w:sz w:val="23"/>
          <w:szCs w:val="23"/>
        </w:rPr>
      </w:pPr>
      <w:proofErr w:type="spellStart"/>
      <w:r>
        <w:rPr>
          <w:rFonts w:ascii="Garamond" w:hAnsi="Garamond" w:cs="Garamond"/>
          <w:color w:val="000000"/>
          <w:sz w:val="23"/>
          <w:szCs w:val="23"/>
        </w:rPr>
        <w:t>Instituto</w:t>
      </w:r>
      <w:proofErr w:type="spellEnd"/>
      <w:r>
        <w:rPr>
          <w:rFonts w:ascii="Garamond" w:hAnsi="Garamond" w:cs="Garamond"/>
          <w:color w:val="000000"/>
          <w:sz w:val="23"/>
          <w:szCs w:val="23"/>
        </w:rPr>
        <w:t xml:space="preserve"> Franklin, University of Alcala de Henares- Spain</w:t>
      </w:r>
    </w:p>
    <w:p w:rsidR="00500434" w:rsidRDefault="00500434" w:rsidP="00500434">
      <w:pPr>
        <w:widowControl w:val="0"/>
        <w:autoSpaceDE w:val="0"/>
        <w:autoSpaceDN w:val="0"/>
        <w:adjustRightInd w:val="0"/>
        <w:ind w:left="1800"/>
        <w:rPr>
          <w:rFonts w:ascii="Wingdings" w:hAnsi="Wingdings" w:cs="Wingdings"/>
          <w:color w:val="000000"/>
          <w:sz w:val="23"/>
          <w:szCs w:val="23"/>
        </w:rPr>
      </w:pPr>
      <w:r>
        <w:rPr>
          <w:rFonts w:ascii="Garamond" w:hAnsi="Garamond" w:cs="Garamond"/>
          <w:color w:val="000000"/>
          <w:sz w:val="23"/>
          <w:szCs w:val="23"/>
        </w:rPr>
        <w:t>UIW European Study- Center Heidelberg, Germany</w:t>
      </w:r>
    </w:p>
    <w:p w:rsidR="00500434" w:rsidRDefault="00500434" w:rsidP="00500434">
      <w:pPr>
        <w:widowControl w:val="0"/>
        <w:autoSpaceDE w:val="0"/>
        <w:autoSpaceDN w:val="0"/>
        <w:adjustRightInd w:val="0"/>
        <w:ind w:left="1800"/>
        <w:rPr>
          <w:rFonts w:ascii="Garamond" w:hAnsi="Garamond" w:cs="Garamond"/>
          <w:color w:val="000000"/>
          <w:sz w:val="23"/>
          <w:szCs w:val="23"/>
        </w:rPr>
      </w:pPr>
      <w:r>
        <w:rPr>
          <w:rFonts w:ascii="Garamond" w:hAnsi="Garamond" w:cs="Garamond"/>
          <w:color w:val="000000"/>
          <w:sz w:val="23"/>
          <w:szCs w:val="23"/>
        </w:rPr>
        <w:t xml:space="preserve">UPCES Study Abroad Program, CERGE-EI Institute - Prague </w:t>
      </w:r>
    </w:p>
    <w:p w:rsidR="00500434" w:rsidRDefault="00500434" w:rsidP="00500434">
      <w:pPr>
        <w:widowControl w:val="0"/>
        <w:autoSpaceDE w:val="0"/>
        <w:autoSpaceDN w:val="0"/>
        <w:adjustRightInd w:val="0"/>
        <w:ind w:left="1440"/>
        <w:rPr>
          <w:rFonts w:ascii="Garamond" w:hAnsi="Garamond" w:cs="Garamond"/>
          <w:color w:val="000000"/>
          <w:sz w:val="23"/>
          <w:szCs w:val="23"/>
        </w:rPr>
      </w:pPr>
      <w:r>
        <w:rPr>
          <w:rFonts w:ascii="Garamond" w:hAnsi="Garamond" w:cs="Garamond"/>
          <w:color w:val="000000"/>
          <w:sz w:val="23"/>
          <w:szCs w:val="23"/>
        </w:rPr>
        <w:t xml:space="preserve">NJ Edge (Annual dues and membership) </w:t>
      </w:r>
    </w:p>
    <w:p w:rsidR="00500434" w:rsidRDefault="00500434" w:rsidP="00500434">
      <w:pPr>
        <w:widowControl w:val="0"/>
        <w:autoSpaceDE w:val="0"/>
        <w:autoSpaceDN w:val="0"/>
        <w:adjustRightInd w:val="0"/>
        <w:ind w:left="1440"/>
        <w:rPr>
          <w:rFonts w:ascii="Garamond" w:hAnsi="Garamond" w:cs="Garamond"/>
          <w:color w:val="000000"/>
          <w:sz w:val="23"/>
          <w:szCs w:val="23"/>
        </w:rPr>
      </w:pPr>
      <w:r>
        <w:rPr>
          <w:rFonts w:ascii="Garamond" w:hAnsi="Garamond" w:cs="Garamond"/>
          <w:color w:val="000000"/>
          <w:sz w:val="23"/>
          <w:szCs w:val="23"/>
        </w:rPr>
        <w:t xml:space="preserve">Software House International (Adobe Enterprise License Agreement) </w:t>
      </w:r>
    </w:p>
    <w:p w:rsidR="00500434" w:rsidRDefault="00500434" w:rsidP="00500434">
      <w:pPr>
        <w:pStyle w:val="ListParagraph"/>
        <w:widowControl w:val="0"/>
        <w:numPr>
          <w:ilvl w:val="0"/>
          <w:numId w:val="28"/>
        </w:numPr>
        <w:autoSpaceDE w:val="0"/>
        <w:autoSpaceDN w:val="0"/>
        <w:adjustRightInd w:val="0"/>
        <w:spacing w:beforeLines="1" w:before="2"/>
        <w:rPr>
          <w:rFonts w:ascii="Garamond" w:hAnsi="Garamond" w:cs="Garamond"/>
          <w:color w:val="000000"/>
          <w:sz w:val="23"/>
          <w:szCs w:val="23"/>
        </w:rPr>
      </w:pPr>
      <w:r>
        <w:rPr>
          <w:rFonts w:ascii="Garamond" w:hAnsi="Garamond" w:cs="Garamond"/>
          <w:color w:val="000000"/>
          <w:sz w:val="23"/>
          <w:szCs w:val="23"/>
        </w:rPr>
        <w:t xml:space="preserve">Resolution Approving a Modification to the Investment Policy Statement </w:t>
      </w:r>
    </w:p>
    <w:p w:rsidR="00500434" w:rsidRDefault="00500434" w:rsidP="00500434">
      <w:pPr>
        <w:widowControl w:val="0"/>
        <w:autoSpaceDE w:val="0"/>
        <w:autoSpaceDN w:val="0"/>
        <w:adjustRightInd w:val="0"/>
        <w:ind w:firstLine="540"/>
        <w:rPr>
          <w:rFonts w:ascii="Garamond" w:hAnsi="Garamond" w:cs="Garamond"/>
          <w:b/>
          <w:bCs/>
          <w:color w:val="000000"/>
          <w:sz w:val="23"/>
          <w:szCs w:val="23"/>
        </w:rPr>
      </w:pPr>
      <w:r>
        <w:rPr>
          <w:rFonts w:ascii="Garamond" w:hAnsi="Garamond" w:cs="Garamond"/>
          <w:b/>
          <w:bCs/>
          <w:color w:val="000000"/>
          <w:sz w:val="23"/>
          <w:szCs w:val="23"/>
        </w:rPr>
        <w:t xml:space="preserve">Reports </w:t>
      </w:r>
    </w:p>
    <w:p w:rsidR="00500434" w:rsidRDefault="00500434" w:rsidP="00500434">
      <w:pPr>
        <w:pStyle w:val="ListParagraph"/>
        <w:widowControl w:val="0"/>
        <w:numPr>
          <w:ilvl w:val="0"/>
          <w:numId w:val="28"/>
        </w:numPr>
        <w:autoSpaceDE w:val="0"/>
        <w:autoSpaceDN w:val="0"/>
        <w:adjustRightInd w:val="0"/>
        <w:spacing w:beforeLines="1" w:before="2"/>
        <w:rPr>
          <w:rFonts w:ascii="Garamond" w:hAnsi="Garamond" w:cs="Garamond"/>
          <w:color w:val="000000"/>
          <w:sz w:val="23"/>
          <w:szCs w:val="23"/>
        </w:rPr>
      </w:pPr>
      <w:r>
        <w:rPr>
          <w:rFonts w:ascii="Garamond" w:hAnsi="Garamond" w:cs="Garamond"/>
          <w:color w:val="000000"/>
          <w:sz w:val="23"/>
          <w:szCs w:val="23"/>
        </w:rPr>
        <w:t>FY 2013 F&amp;I Committee Report – Cash and Investments</w:t>
      </w:r>
    </w:p>
    <w:p w:rsidR="00500434" w:rsidRDefault="00500434" w:rsidP="00500434">
      <w:pPr>
        <w:pStyle w:val="ListParagraph"/>
        <w:widowControl w:val="0"/>
        <w:autoSpaceDE w:val="0"/>
        <w:autoSpaceDN w:val="0"/>
        <w:adjustRightInd w:val="0"/>
        <w:spacing w:before="2"/>
        <w:ind w:left="1080"/>
        <w:rPr>
          <w:rFonts w:ascii="Garamond" w:hAnsi="Garamond" w:cs="Garamond"/>
          <w:color w:val="000000"/>
          <w:sz w:val="23"/>
          <w:szCs w:val="23"/>
        </w:rPr>
      </w:pPr>
      <w:r>
        <w:rPr>
          <w:rFonts w:ascii="Garamond" w:hAnsi="Garamond" w:cs="Garamond"/>
          <w:color w:val="000000"/>
          <w:sz w:val="23"/>
          <w:szCs w:val="23"/>
        </w:rPr>
        <w:t>Allocation and Operating Budget Update</w:t>
      </w:r>
    </w:p>
    <w:p w:rsidR="00500434" w:rsidRDefault="00500434" w:rsidP="00500434">
      <w:pPr>
        <w:pStyle w:val="ListParagraph"/>
        <w:widowControl w:val="0"/>
        <w:numPr>
          <w:ilvl w:val="0"/>
          <w:numId w:val="28"/>
        </w:numPr>
        <w:autoSpaceDE w:val="0"/>
        <w:autoSpaceDN w:val="0"/>
        <w:adjustRightInd w:val="0"/>
        <w:spacing w:beforeLines="1" w:before="2"/>
        <w:rPr>
          <w:rFonts w:ascii="Garamond" w:hAnsi="Garamond" w:cs="Garamond"/>
          <w:color w:val="000000"/>
          <w:sz w:val="23"/>
          <w:szCs w:val="23"/>
        </w:rPr>
      </w:pPr>
      <w:r>
        <w:rPr>
          <w:rFonts w:ascii="Garamond" w:hAnsi="Garamond" w:cs="Garamond"/>
          <w:color w:val="000000"/>
          <w:sz w:val="23"/>
          <w:szCs w:val="23"/>
        </w:rPr>
        <w:t>FY 2014 Proposed Operating Budget</w:t>
      </w:r>
    </w:p>
    <w:p w:rsidR="00500434" w:rsidRDefault="00500434" w:rsidP="00500434">
      <w:pPr>
        <w:pStyle w:val="ListParagraph"/>
        <w:widowControl w:val="0"/>
        <w:numPr>
          <w:ilvl w:val="1"/>
          <w:numId w:val="28"/>
        </w:numPr>
        <w:autoSpaceDE w:val="0"/>
        <w:autoSpaceDN w:val="0"/>
        <w:adjustRightInd w:val="0"/>
        <w:spacing w:beforeLines="1" w:before="2"/>
        <w:rPr>
          <w:color w:val="000000"/>
          <w:sz w:val="20"/>
          <w:szCs w:val="20"/>
        </w:rPr>
      </w:pPr>
      <w:r>
        <w:rPr>
          <w:color w:val="000000"/>
          <w:sz w:val="20"/>
          <w:szCs w:val="20"/>
        </w:rPr>
        <w:t>Budget Planning Assumptions</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 xml:space="preserve">Undergraduate enrollment projected at 6,321(32 more than the initial projection). It includes 1,395 freshman, 392 transfers and 30 fall provisional students. Graduate enrollment remains flat. </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The proposed tuition and fees increase = 2.5%.</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Housing – additional beds from Cromwell + room &amp; board average rate increase of 3.2%.</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FY14 salary program projected at $1.7M - (COLA, Increments, Non-unit merit pool and mid-level managers market adjustment).</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Institutional scholarships projection increased by 3.4% or $516,000 above the FY13 actual awards to address the increasing demand for institutional scholarships.</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Increase in debt service due to the schedule principal payment of $9.3M in FY14 versus $2.2M in FY13 – a strategy to accelerate the debt repayment.</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 xml:space="preserve">Base State Appropriations remains flat but there will be an increase of $1.5M in the state funded fringe benefits per the Governor's recommendation (non-cash item to </w:t>
      </w:r>
      <w:r>
        <w:rPr>
          <w:sz w:val="20"/>
          <w:szCs w:val="20"/>
        </w:rPr>
        <w:lastRenderedPageBreak/>
        <w:t>TCNJ).</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Transfer the annual allocation ($1M) from the Foundation to support institutional scholarships plus $250K from the TCNJ Quasi-Endowment to fund strategic initiatives.</w:t>
      </w:r>
    </w:p>
    <w:p w:rsidR="00500434" w:rsidRDefault="00500434" w:rsidP="00500434">
      <w:pPr>
        <w:pStyle w:val="ListParagraph"/>
        <w:widowControl w:val="0"/>
        <w:numPr>
          <w:ilvl w:val="2"/>
          <w:numId w:val="28"/>
        </w:numPr>
        <w:autoSpaceDE w:val="0"/>
        <w:autoSpaceDN w:val="0"/>
        <w:adjustRightInd w:val="0"/>
        <w:spacing w:beforeLines="1" w:before="2"/>
        <w:rPr>
          <w:sz w:val="20"/>
          <w:szCs w:val="20"/>
        </w:rPr>
      </w:pPr>
      <w:r>
        <w:rPr>
          <w:sz w:val="20"/>
          <w:szCs w:val="20"/>
        </w:rPr>
        <w:t xml:space="preserve">Strategic reserves funding of $1.7M for one-time initiatives (i.e. assessment consultant academic equipment, security cameras, IT requests and lab renovation). </w:t>
      </w:r>
    </w:p>
    <w:p w:rsidR="00500434" w:rsidRDefault="00500434" w:rsidP="00500434">
      <w:pPr>
        <w:pStyle w:val="ListParagraph"/>
        <w:widowControl w:val="0"/>
        <w:numPr>
          <w:ilvl w:val="1"/>
          <w:numId w:val="28"/>
        </w:numPr>
        <w:autoSpaceDE w:val="0"/>
        <w:autoSpaceDN w:val="0"/>
        <w:adjustRightInd w:val="0"/>
        <w:spacing w:beforeLines="1" w:before="2"/>
        <w:rPr>
          <w:rFonts w:ascii="Garamond" w:hAnsi="Garamond" w:cs="Garamond"/>
          <w:color w:val="000000"/>
          <w:sz w:val="20"/>
          <w:szCs w:val="20"/>
        </w:rPr>
      </w:pPr>
      <w:r>
        <w:rPr>
          <w:rFonts w:ascii="Garamond" w:hAnsi="Garamond" w:cs="Garamond"/>
          <w:color w:val="000000"/>
          <w:sz w:val="20"/>
          <w:szCs w:val="20"/>
        </w:rPr>
        <w:t>Key Budget Performance Indicators</w:t>
      </w:r>
    </w:p>
    <w:p w:rsidR="00500434" w:rsidRDefault="00500434" w:rsidP="00500434">
      <w:pPr>
        <w:widowControl w:val="0"/>
        <w:autoSpaceDE w:val="0"/>
        <w:autoSpaceDN w:val="0"/>
        <w:adjustRightInd w:val="0"/>
        <w:ind w:left="2160" w:hanging="360"/>
        <w:rPr>
          <w:rFonts w:ascii="Garamond" w:hAnsi="Garamond"/>
          <w:sz w:val="20"/>
          <w:szCs w:val="20"/>
        </w:rPr>
      </w:pPr>
      <w:r>
        <w:rPr>
          <w:rFonts w:ascii="Garamond" w:hAnsi="Garamond"/>
          <w:sz w:val="20"/>
          <w:szCs w:val="20"/>
        </w:rPr>
        <w:t>1.</w:t>
      </w:r>
      <w:r>
        <w:rPr>
          <w:rFonts w:ascii="Garamond" w:hAnsi="Garamond"/>
          <w:sz w:val="20"/>
          <w:szCs w:val="20"/>
        </w:rPr>
        <w:tab/>
        <w:t>Percentage of the operating budget allocated to direct student support (instruction &amp; research, academic support, student services and institutional scholarships &amp; waivers) – should be no less than 67% of the total educational &amp; general operating expenses.</w:t>
      </w:r>
    </w:p>
    <w:p w:rsidR="00500434" w:rsidRDefault="00500434" w:rsidP="00500434">
      <w:pPr>
        <w:widowControl w:val="0"/>
        <w:autoSpaceDE w:val="0"/>
        <w:autoSpaceDN w:val="0"/>
        <w:adjustRightInd w:val="0"/>
        <w:ind w:left="2160" w:hanging="360"/>
        <w:rPr>
          <w:rFonts w:ascii="Garamond" w:hAnsi="Garamond"/>
          <w:sz w:val="20"/>
          <w:szCs w:val="20"/>
        </w:rPr>
      </w:pPr>
      <w:r>
        <w:rPr>
          <w:rFonts w:ascii="Garamond" w:hAnsi="Garamond"/>
          <w:sz w:val="20"/>
          <w:szCs w:val="20"/>
        </w:rPr>
        <w:t>2.</w:t>
      </w:r>
      <w:r>
        <w:rPr>
          <w:rFonts w:ascii="Garamond" w:hAnsi="Garamond"/>
          <w:sz w:val="20"/>
          <w:szCs w:val="20"/>
        </w:rPr>
        <w:tab/>
        <w:t xml:space="preserve">Affordability/Access - Level of funding allocated for institutional scholarships &amp; waivers ( Tuition Discount Rate) – Maximum = 16% and minimum = 10%. </w:t>
      </w:r>
    </w:p>
    <w:p w:rsidR="00500434" w:rsidRDefault="00500434" w:rsidP="00500434">
      <w:pPr>
        <w:pStyle w:val="ListParagraph"/>
        <w:widowControl w:val="0"/>
        <w:autoSpaceDE w:val="0"/>
        <w:autoSpaceDN w:val="0"/>
        <w:adjustRightInd w:val="0"/>
        <w:spacing w:before="2"/>
        <w:ind w:left="2160" w:hanging="360"/>
        <w:rPr>
          <w:rFonts w:ascii="Garamond" w:hAnsi="Garamond"/>
          <w:sz w:val="20"/>
          <w:szCs w:val="20"/>
        </w:rPr>
      </w:pPr>
      <w:r>
        <w:rPr>
          <w:rFonts w:ascii="Garamond" w:hAnsi="Garamond"/>
          <w:sz w:val="20"/>
          <w:szCs w:val="20"/>
        </w:rPr>
        <w:t>3.</w:t>
      </w:r>
      <w:r>
        <w:rPr>
          <w:rFonts w:ascii="Garamond" w:hAnsi="Garamond"/>
          <w:sz w:val="20"/>
          <w:szCs w:val="20"/>
        </w:rPr>
        <w:tab/>
        <w:t xml:space="preserve">Level of funding allocated for strategic investments – minimum target = 2% of operating expenses. </w:t>
      </w:r>
    </w:p>
    <w:p w:rsidR="00500434" w:rsidRDefault="00500434" w:rsidP="00500434">
      <w:pPr>
        <w:pStyle w:val="ListParagraph"/>
        <w:widowControl w:val="0"/>
        <w:numPr>
          <w:ilvl w:val="1"/>
          <w:numId w:val="28"/>
        </w:numPr>
        <w:autoSpaceDE w:val="0"/>
        <w:autoSpaceDN w:val="0"/>
        <w:adjustRightInd w:val="0"/>
        <w:spacing w:beforeLines="1" w:before="2"/>
        <w:rPr>
          <w:rFonts w:ascii="Garamond" w:hAnsi="Garamond" w:cs="Garamond"/>
          <w:color w:val="000000"/>
          <w:sz w:val="20"/>
          <w:szCs w:val="20"/>
        </w:rPr>
      </w:pPr>
      <w:r>
        <w:rPr>
          <w:rFonts w:ascii="Garamond" w:hAnsi="Garamond"/>
          <w:sz w:val="20"/>
          <w:szCs w:val="20"/>
        </w:rPr>
        <w:t xml:space="preserve">TCNJ is poised to make significant strategic investments over the next several years based on our improved financial position. The strategic priorities for 2013-2014 include the following: </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1.</w:t>
      </w:r>
      <w:r>
        <w:rPr>
          <w:rFonts w:ascii="Garamond" w:hAnsi="Garamond"/>
          <w:sz w:val="20"/>
          <w:szCs w:val="20"/>
        </w:rPr>
        <w:tab/>
        <w:t xml:space="preserve">Identify revenue enhancements initiatives </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2.</w:t>
      </w:r>
      <w:r>
        <w:rPr>
          <w:rFonts w:ascii="Garamond" w:hAnsi="Garamond"/>
          <w:sz w:val="20"/>
          <w:szCs w:val="20"/>
        </w:rPr>
        <w:tab/>
        <w:t>Instructional technology &amp; technology that allows us to improve processes</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3.</w:t>
      </w:r>
      <w:r>
        <w:rPr>
          <w:rFonts w:ascii="Garamond" w:hAnsi="Garamond"/>
          <w:sz w:val="20"/>
          <w:szCs w:val="20"/>
        </w:rPr>
        <w:tab/>
        <w:t xml:space="preserve">Raising TCNJ’s visibility </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4.</w:t>
      </w:r>
      <w:r>
        <w:rPr>
          <w:rFonts w:ascii="Garamond" w:hAnsi="Garamond"/>
          <w:sz w:val="20"/>
          <w:szCs w:val="20"/>
        </w:rPr>
        <w:tab/>
        <w:t xml:space="preserve">Investments in signature experiences </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5.</w:t>
      </w:r>
      <w:r>
        <w:rPr>
          <w:rFonts w:ascii="Garamond" w:hAnsi="Garamond"/>
          <w:sz w:val="20"/>
          <w:szCs w:val="20"/>
        </w:rPr>
        <w:tab/>
        <w:t xml:space="preserve">Improve on the 4-year graduation rate and student advising </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6.</w:t>
      </w:r>
      <w:r>
        <w:rPr>
          <w:rFonts w:ascii="Garamond" w:hAnsi="Garamond"/>
          <w:sz w:val="20"/>
          <w:szCs w:val="20"/>
        </w:rPr>
        <w:tab/>
        <w:t xml:space="preserve">Assessment linked to investment </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7.</w:t>
      </w:r>
      <w:r>
        <w:rPr>
          <w:rFonts w:ascii="Garamond" w:hAnsi="Garamond"/>
          <w:sz w:val="20"/>
          <w:szCs w:val="20"/>
        </w:rPr>
        <w:tab/>
        <w:t>Investments in professional development for faculty, staff and students</w:t>
      </w:r>
    </w:p>
    <w:p w:rsidR="00500434" w:rsidRDefault="00500434" w:rsidP="00500434">
      <w:pPr>
        <w:pStyle w:val="ListParagraph"/>
        <w:widowControl w:val="0"/>
        <w:autoSpaceDE w:val="0"/>
        <w:autoSpaceDN w:val="0"/>
        <w:adjustRightInd w:val="0"/>
        <w:spacing w:before="2"/>
        <w:ind w:left="1440" w:firstLine="360"/>
        <w:rPr>
          <w:rFonts w:ascii="Garamond" w:hAnsi="Garamond"/>
          <w:sz w:val="20"/>
          <w:szCs w:val="20"/>
        </w:rPr>
      </w:pPr>
      <w:r>
        <w:rPr>
          <w:rFonts w:ascii="Garamond" w:hAnsi="Garamond"/>
          <w:sz w:val="20"/>
          <w:szCs w:val="20"/>
        </w:rPr>
        <w:t>8.</w:t>
      </w:r>
      <w:r>
        <w:rPr>
          <w:rFonts w:ascii="Garamond" w:hAnsi="Garamond"/>
          <w:sz w:val="20"/>
          <w:szCs w:val="20"/>
        </w:rPr>
        <w:tab/>
        <w:t xml:space="preserve">Investments in facilities and infrastructure </w:t>
      </w:r>
    </w:p>
    <w:p w:rsidR="00500434" w:rsidRPr="00C976CD" w:rsidRDefault="00500434" w:rsidP="00C976CD">
      <w:pPr>
        <w:rPr>
          <w:sz w:val="22"/>
          <w:szCs w:val="22"/>
        </w:rPr>
      </w:pPr>
    </w:p>
    <w:sectPr w:rsidR="00500434" w:rsidRPr="00C976C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àˇøÚ‹">
    <w:altName w:val="Cambria"/>
    <w:panose1 w:val="00000000000000000000"/>
    <w:charset w:val="4D"/>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ÿÀˇøàw≈'1">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E3"/>
    <w:multiLevelType w:val="hybridMultilevel"/>
    <w:tmpl w:val="AE9641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0">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53B32"/>
    <w:multiLevelType w:val="hybridMultilevel"/>
    <w:tmpl w:val="BE1E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3538F5"/>
    <w:multiLevelType w:val="hybridMultilevel"/>
    <w:tmpl w:val="88E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22D57"/>
    <w:multiLevelType w:val="hybridMultilevel"/>
    <w:tmpl w:val="9400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2"/>
  </w:num>
  <w:num w:numId="4">
    <w:abstractNumId w:val="19"/>
  </w:num>
  <w:num w:numId="5">
    <w:abstractNumId w:val="10"/>
  </w:num>
  <w:num w:numId="6">
    <w:abstractNumId w:val="4"/>
  </w:num>
  <w:num w:numId="7">
    <w:abstractNumId w:val="3"/>
  </w:num>
  <w:num w:numId="8">
    <w:abstractNumId w:val="11"/>
  </w:num>
  <w:num w:numId="9">
    <w:abstractNumId w:val="1"/>
  </w:num>
  <w:num w:numId="10">
    <w:abstractNumId w:val="14"/>
  </w:num>
  <w:num w:numId="11">
    <w:abstractNumId w:val="16"/>
  </w:num>
  <w:num w:numId="12">
    <w:abstractNumId w:val="23"/>
  </w:num>
  <w:num w:numId="13">
    <w:abstractNumId w:val="25"/>
  </w:num>
  <w:num w:numId="14">
    <w:abstractNumId w:val="15"/>
  </w:num>
  <w:num w:numId="15">
    <w:abstractNumId w:val="21"/>
  </w:num>
  <w:num w:numId="16">
    <w:abstractNumId w:val="28"/>
  </w:num>
  <w:num w:numId="17">
    <w:abstractNumId w:val="8"/>
  </w:num>
  <w:num w:numId="18">
    <w:abstractNumId w:val="27"/>
  </w:num>
  <w:num w:numId="19">
    <w:abstractNumId w:val="20"/>
  </w:num>
  <w:num w:numId="20">
    <w:abstractNumId w:val="26"/>
  </w:num>
  <w:num w:numId="21">
    <w:abstractNumId w:val="30"/>
  </w:num>
  <w:num w:numId="22">
    <w:abstractNumId w:val="24"/>
  </w:num>
  <w:num w:numId="23">
    <w:abstractNumId w:val="6"/>
  </w:num>
  <w:num w:numId="24">
    <w:abstractNumId w:val="2"/>
  </w:num>
  <w:num w:numId="25">
    <w:abstractNumId w:val="29"/>
  </w:num>
  <w:num w:numId="26">
    <w:abstractNumId w:val="9"/>
  </w:num>
  <w:num w:numId="27">
    <w:abstractNumId w:val="13"/>
  </w:num>
  <w:num w:numId="28">
    <w:abstractNumId w:val="18"/>
  </w:num>
  <w:num w:numId="29">
    <w:abstractNumId w:val="12"/>
  </w:num>
  <w:num w:numId="30">
    <w:abstractNumId w:val="17"/>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4AE3"/>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3C97"/>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11D4"/>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A498D"/>
    <w:rsid w:val="007B0640"/>
    <w:rsid w:val="007B5439"/>
    <w:rsid w:val="007B5558"/>
    <w:rsid w:val="007B638E"/>
    <w:rsid w:val="007C48DD"/>
    <w:rsid w:val="007C7AB5"/>
    <w:rsid w:val="007D1A88"/>
    <w:rsid w:val="007D4167"/>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69F"/>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D6FEC"/>
    <w:rsid w:val="00AE32A9"/>
    <w:rsid w:val="00AE3995"/>
    <w:rsid w:val="00AE3AF5"/>
    <w:rsid w:val="00AE4226"/>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C2AF7"/>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461"/>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1124"/>
    <w:rsid w:val="00DF2103"/>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56F"/>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2CFC"/>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043505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68356626">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A2DC-4D5D-4A32-B96F-F64F5A41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2012-10-10T12:51:00Z</cp:lastPrinted>
  <dcterms:created xsi:type="dcterms:W3CDTF">2014-02-17T19:25:00Z</dcterms:created>
  <dcterms:modified xsi:type="dcterms:W3CDTF">2014-02-27T14:45:00Z</dcterms:modified>
</cp:coreProperties>
</file>