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bookmarkStart w:id="0" w:name="_GoBack"/>
      <w:bookmarkEnd w:id="0"/>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8D1523" w:rsidP="009E182A">
      <w:pPr>
        <w:jc w:val="center"/>
        <w:rPr>
          <w:rFonts w:asciiTheme="minorHAnsi" w:hAnsiTheme="minorHAnsi" w:cstheme="minorHAnsi"/>
          <w:b/>
        </w:rPr>
      </w:pPr>
      <w:r>
        <w:rPr>
          <w:rFonts w:asciiTheme="minorHAnsi" w:hAnsiTheme="minorHAnsi" w:cstheme="minorHAnsi"/>
          <w:b/>
        </w:rPr>
        <w:t>April 20</w:t>
      </w:r>
      <w:r w:rsidR="00077B8D">
        <w:rPr>
          <w:rFonts w:asciiTheme="minorHAnsi" w:hAnsiTheme="minorHAnsi" w:cstheme="minorHAnsi"/>
          <w:b/>
        </w:rPr>
        <w:t>, 2016</w:t>
      </w:r>
      <w:r w:rsidR="00403560">
        <w:rPr>
          <w:rFonts w:asciiTheme="minorHAnsi" w:hAnsiTheme="minorHAnsi" w:cstheme="minorHAnsi"/>
          <w:b/>
        </w:rPr>
        <w:t xml:space="preserve"> – 12:00-1:20 pm – 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proofErr w:type="spellStart"/>
      <w:r w:rsidR="008D1523">
        <w:rPr>
          <w:rFonts w:asciiTheme="minorHAnsi" w:hAnsiTheme="minorHAnsi" w:cstheme="minorHAnsi"/>
          <w:sz w:val="22"/>
          <w:szCs w:val="22"/>
        </w:rPr>
        <w:t>Abourahma</w:t>
      </w:r>
      <w:proofErr w:type="spellEnd"/>
      <w:r w:rsidR="00BA6B68">
        <w:rPr>
          <w:rFonts w:asciiTheme="minorHAnsi" w:hAnsiTheme="minorHAnsi" w:cstheme="minorHAnsi"/>
          <w:sz w:val="22"/>
          <w:szCs w:val="22"/>
        </w:rPr>
        <w:t xml:space="preserve">, </w:t>
      </w:r>
      <w:r w:rsidR="00077B8D">
        <w:rPr>
          <w:rFonts w:asciiTheme="minorHAnsi" w:hAnsiTheme="minorHAnsi" w:cstheme="minorHAnsi"/>
          <w:sz w:val="22"/>
          <w:szCs w:val="22"/>
        </w:rPr>
        <w:t xml:space="preserve">Anthony, </w:t>
      </w:r>
      <w:r w:rsidR="00403096">
        <w:rPr>
          <w:rFonts w:asciiTheme="minorHAnsi" w:hAnsiTheme="minorHAnsi" w:cstheme="minorHAnsi"/>
          <w:sz w:val="22"/>
          <w:szCs w:val="22"/>
        </w:rPr>
        <w:t xml:space="preserve">Bender, </w:t>
      </w:r>
      <w:r w:rsidR="008D1523">
        <w:rPr>
          <w:rFonts w:asciiTheme="minorHAnsi" w:hAnsiTheme="minorHAnsi" w:cstheme="minorHAnsi"/>
          <w:sz w:val="22"/>
          <w:szCs w:val="22"/>
        </w:rPr>
        <w:t>Bennett,</w:t>
      </w:r>
      <w:r w:rsidR="00077B8D">
        <w:rPr>
          <w:rFonts w:asciiTheme="minorHAnsi" w:hAnsiTheme="minorHAnsi" w:cstheme="minorHAnsi"/>
          <w:sz w:val="22"/>
          <w:szCs w:val="22"/>
        </w:rPr>
        <w:t xml:space="preserve"> </w:t>
      </w:r>
      <w:proofErr w:type="spellStart"/>
      <w:r w:rsidR="00BA6B68">
        <w:rPr>
          <w:rFonts w:asciiTheme="minorHAnsi" w:hAnsiTheme="minorHAnsi" w:cstheme="minorHAnsi"/>
          <w:sz w:val="22"/>
          <w:szCs w:val="22"/>
        </w:rPr>
        <w:t>Beyers</w:t>
      </w:r>
      <w:proofErr w:type="spellEnd"/>
      <w:r w:rsidR="00BA6B68">
        <w:rPr>
          <w:rFonts w:asciiTheme="minorHAnsi" w:hAnsiTheme="minorHAnsi" w:cstheme="minorHAnsi"/>
          <w:sz w:val="22"/>
          <w:szCs w:val="22"/>
        </w:rPr>
        <w:t xml:space="preserve">, </w:t>
      </w:r>
      <w:r w:rsidR="008D1523">
        <w:rPr>
          <w:rFonts w:asciiTheme="minorHAnsi" w:hAnsiTheme="minorHAnsi" w:cstheme="minorHAnsi"/>
          <w:sz w:val="22"/>
          <w:szCs w:val="22"/>
        </w:rPr>
        <w:t>Blake,</w:t>
      </w:r>
      <w:r w:rsidR="00BA6B68">
        <w:rPr>
          <w:rFonts w:asciiTheme="minorHAnsi" w:hAnsiTheme="minorHAnsi" w:cstheme="minorHAnsi"/>
          <w:sz w:val="22"/>
          <w:szCs w:val="22"/>
        </w:rPr>
        <w:t xml:space="preserve"> </w:t>
      </w:r>
      <w:r w:rsidR="00460A2F">
        <w:rPr>
          <w:rFonts w:asciiTheme="minorHAnsi" w:hAnsiTheme="minorHAnsi" w:cstheme="minorHAnsi"/>
          <w:sz w:val="22"/>
          <w:szCs w:val="22"/>
        </w:rPr>
        <w:t>Brown-</w:t>
      </w:r>
      <w:proofErr w:type="spellStart"/>
      <w:r w:rsidR="00460A2F">
        <w:rPr>
          <w:rFonts w:asciiTheme="minorHAnsi" w:hAnsiTheme="minorHAnsi" w:cstheme="minorHAnsi"/>
          <w:sz w:val="22"/>
          <w:szCs w:val="22"/>
        </w:rPr>
        <w:t>Glaude</w:t>
      </w:r>
      <w:proofErr w:type="spellEnd"/>
      <w:r w:rsidR="00460A2F">
        <w:rPr>
          <w:rFonts w:asciiTheme="minorHAnsi" w:hAnsiTheme="minorHAnsi" w:cstheme="minorHAnsi"/>
          <w:sz w:val="22"/>
          <w:szCs w:val="22"/>
        </w:rPr>
        <w:t xml:space="preserve">, </w:t>
      </w:r>
      <w:r w:rsidR="00B56C5A">
        <w:rPr>
          <w:rFonts w:asciiTheme="minorHAnsi" w:hAnsiTheme="minorHAnsi" w:cstheme="minorHAnsi"/>
          <w:sz w:val="22"/>
          <w:szCs w:val="22"/>
        </w:rPr>
        <w:t>Bush-Wallace</w:t>
      </w:r>
      <w:r w:rsidR="00403096">
        <w:rPr>
          <w:rFonts w:asciiTheme="minorHAnsi" w:hAnsiTheme="minorHAnsi" w:cstheme="minorHAnsi"/>
          <w:sz w:val="22"/>
          <w:szCs w:val="22"/>
        </w:rPr>
        <w:t xml:space="preserve">, </w:t>
      </w:r>
      <w:r w:rsidR="00460A2F">
        <w:rPr>
          <w:rFonts w:asciiTheme="minorHAnsi" w:hAnsiTheme="minorHAnsi" w:cstheme="minorHAnsi"/>
          <w:sz w:val="22"/>
          <w:szCs w:val="22"/>
        </w:rPr>
        <w:t>Curtis</w:t>
      </w:r>
      <w:r w:rsidR="00BA6B68">
        <w:rPr>
          <w:rFonts w:asciiTheme="minorHAnsi" w:hAnsiTheme="minorHAnsi" w:cstheme="minorHAnsi"/>
          <w:sz w:val="22"/>
          <w:szCs w:val="22"/>
        </w:rPr>
        <w:t xml:space="preserve">, </w:t>
      </w:r>
      <w:proofErr w:type="spellStart"/>
      <w:r w:rsidR="008D1523">
        <w:rPr>
          <w:rFonts w:asciiTheme="minorHAnsi" w:hAnsiTheme="minorHAnsi" w:cstheme="minorHAnsi"/>
          <w:sz w:val="22"/>
          <w:szCs w:val="22"/>
        </w:rPr>
        <w:t>Deese</w:t>
      </w:r>
      <w:proofErr w:type="spellEnd"/>
      <w:r w:rsidR="008D1523">
        <w:rPr>
          <w:rFonts w:asciiTheme="minorHAnsi" w:hAnsiTheme="minorHAnsi" w:cstheme="minorHAnsi"/>
          <w:sz w:val="22"/>
          <w:szCs w:val="22"/>
        </w:rPr>
        <w:t xml:space="preserve">, </w:t>
      </w:r>
      <w:r w:rsidR="00403096">
        <w:rPr>
          <w:rFonts w:asciiTheme="minorHAnsi" w:hAnsiTheme="minorHAnsi" w:cstheme="minorHAnsi"/>
          <w:sz w:val="22"/>
          <w:szCs w:val="22"/>
        </w:rPr>
        <w:t xml:space="preserve">Dickinson, </w:t>
      </w:r>
      <w:proofErr w:type="spellStart"/>
      <w:r w:rsidR="00D750F3">
        <w:rPr>
          <w:rFonts w:asciiTheme="minorHAnsi" w:hAnsiTheme="minorHAnsi" w:cstheme="minorHAnsi"/>
          <w:sz w:val="22"/>
          <w:szCs w:val="22"/>
        </w:rPr>
        <w:t>Didi-Ogren</w:t>
      </w:r>
      <w:proofErr w:type="spellEnd"/>
      <w:r w:rsidR="00D750F3">
        <w:rPr>
          <w:rFonts w:asciiTheme="minorHAnsi" w:hAnsiTheme="minorHAnsi" w:cstheme="minorHAnsi"/>
          <w:sz w:val="22"/>
          <w:szCs w:val="22"/>
        </w:rPr>
        <w:t xml:space="preserve">, </w:t>
      </w:r>
      <w:r w:rsidR="00403096">
        <w:rPr>
          <w:rFonts w:asciiTheme="minorHAnsi" w:hAnsiTheme="minorHAnsi" w:cstheme="minorHAnsi"/>
          <w:sz w:val="22"/>
          <w:szCs w:val="22"/>
        </w:rPr>
        <w:t xml:space="preserve">Domingo, </w:t>
      </w:r>
      <w:r w:rsidR="00BA6B68">
        <w:rPr>
          <w:rFonts w:asciiTheme="minorHAnsi" w:hAnsiTheme="minorHAnsi" w:cstheme="minorHAnsi"/>
          <w:sz w:val="22"/>
          <w:szCs w:val="22"/>
        </w:rPr>
        <w:t xml:space="preserve">Farrell, </w:t>
      </w:r>
      <w:proofErr w:type="spellStart"/>
      <w:r w:rsidR="00403096">
        <w:rPr>
          <w:rFonts w:asciiTheme="minorHAnsi" w:hAnsiTheme="minorHAnsi" w:cstheme="minorHAnsi"/>
          <w:sz w:val="22"/>
          <w:szCs w:val="22"/>
        </w:rPr>
        <w:t>Ghitulescu</w:t>
      </w:r>
      <w:proofErr w:type="spellEnd"/>
      <w:r w:rsidR="00403096">
        <w:rPr>
          <w:rFonts w:asciiTheme="minorHAnsi" w:hAnsiTheme="minorHAnsi" w:cstheme="minorHAnsi"/>
          <w:sz w:val="22"/>
          <w:szCs w:val="22"/>
        </w:rPr>
        <w:t xml:space="preserve">, Girard, </w:t>
      </w:r>
      <w:proofErr w:type="spellStart"/>
      <w:r w:rsidR="00403096">
        <w:rPr>
          <w:rFonts w:asciiTheme="minorHAnsi" w:hAnsiTheme="minorHAnsi" w:cstheme="minorHAnsi"/>
          <w:sz w:val="22"/>
          <w:szCs w:val="22"/>
        </w:rPr>
        <w:t>Gosselin</w:t>
      </w:r>
      <w:proofErr w:type="spellEnd"/>
      <w:r w:rsidR="00403096">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Guarracino</w:t>
      </w:r>
      <w:proofErr w:type="spellEnd"/>
      <w:r w:rsidR="00403096">
        <w:rPr>
          <w:rFonts w:asciiTheme="minorHAnsi" w:hAnsiTheme="minorHAnsi" w:cstheme="minorHAnsi"/>
          <w:sz w:val="22"/>
          <w:szCs w:val="22"/>
        </w:rPr>
        <w:t xml:space="preserve">, </w:t>
      </w:r>
      <w:r w:rsidR="00BA6B68">
        <w:rPr>
          <w:rFonts w:asciiTheme="minorHAnsi" w:hAnsiTheme="minorHAnsi" w:cstheme="minorHAnsi"/>
          <w:sz w:val="22"/>
          <w:szCs w:val="22"/>
        </w:rPr>
        <w:t xml:space="preserve">Hirsh, </w:t>
      </w:r>
      <w:proofErr w:type="spellStart"/>
      <w:r w:rsidR="00077B8D">
        <w:rPr>
          <w:rFonts w:asciiTheme="minorHAnsi" w:hAnsiTheme="minorHAnsi" w:cstheme="minorHAnsi"/>
          <w:sz w:val="22"/>
          <w:szCs w:val="22"/>
        </w:rPr>
        <w:t>Holleran</w:t>
      </w:r>
      <w:proofErr w:type="spellEnd"/>
      <w:r w:rsidR="00077B8D">
        <w:rPr>
          <w:rFonts w:asciiTheme="minorHAnsi" w:hAnsiTheme="minorHAnsi" w:cstheme="minorHAnsi"/>
          <w:sz w:val="22"/>
          <w:szCs w:val="22"/>
        </w:rPr>
        <w:t xml:space="preserve">, </w:t>
      </w:r>
      <w:r w:rsidR="008D1523">
        <w:rPr>
          <w:rFonts w:asciiTheme="minorHAnsi" w:hAnsiTheme="minorHAnsi" w:cstheme="minorHAnsi"/>
          <w:sz w:val="22"/>
          <w:szCs w:val="22"/>
        </w:rPr>
        <w:t xml:space="preserve">Hughes, </w:t>
      </w:r>
      <w:proofErr w:type="spellStart"/>
      <w:r w:rsidR="00403096">
        <w:rPr>
          <w:rFonts w:asciiTheme="minorHAnsi" w:hAnsiTheme="minorHAnsi" w:cstheme="minorHAnsi"/>
          <w:sz w:val="22"/>
          <w:szCs w:val="22"/>
        </w:rPr>
        <w:t>Krimmel</w:t>
      </w:r>
      <w:proofErr w:type="spellEnd"/>
      <w:r w:rsidR="00403096">
        <w:rPr>
          <w:rFonts w:asciiTheme="minorHAnsi" w:hAnsiTheme="minorHAnsi" w:cstheme="minorHAnsi"/>
          <w:sz w:val="22"/>
          <w:szCs w:val="22"/>
        </w:rPr>
        <w:t xml:space="preserve">, </w:t>
      </w:r>
      <w:proofErr w:type="spellStart"/>
      <w:r w:rsidR="00D750F3">
        <w:rPr>
          <w:rFonts w:asciiTheme="minorHAnsi" w:hAnsiTheme="minorHAnsi" w:cstheme="minorHAnsi"/>
          <w:sz w:val="22"/>
          <w:szCs w:val="22"/>
        </w:rPr>
        <w:t>Krstic</w:t>
      </w:r>
      <w:proofErr w:type="spellEnd"/>
      <w:r w:rsidR="00D750F3">
        <w:rPr>
          <w:rFonts w:asciiTheme="minorHAnsi" w:hAnsiTheme="minorHAnsi" w:cstheme="minorHAnsi"/>
          <w:sz w:val="22"/>
          <w:szCs w:val="22"/>
        </w:rPr>
        <w:t xml:space="preserve">, </w:t>
      </w:r>
      <w:proofErr w:type="spellStart"/>
      <w:r w:rsidR="00403096">
        <w:rPr>
          <w:rFonts w:asciiTheme="minorHAnsi" w:hAnsiTheme="minorHAnsi" w:cstheme="minorHAnsi"/>
          <w:sz w:val="22"/>
          <w:szCs w:val="22"/>
        </w:rPr>
        <w:t>LaJevic</w:t>
      </w:r>
      <w:proofErr w:type="spellEnd"/>
      <w:r w:rsidR="00403096">
        <w:rPr>
          <w:rFonts w:asciiTheme="minorHAnsi" w:hAnsiTheme="minorHAnsi" w:cstheme="minorHAnsi"/>
          <w:sz w:val="22"/>
          <w:szCs w:val="22"/>
        </w:rPr>
        <w:t>,</w:t>
      </w:r>
      <w:r w:rsidR="008D1523">
        <w:rPr>
          <w:rFonts w:asciiTheme="minorHAnsi" w:hAnsiTheme="minorHAnsi" w:cstheme="minorHAnsi"/>
          <w:sz w:val="22"/>
          <w:szCs w:val="22"/>
        </w:rPr>
        <w:t xml:space="preserve"> Leonard,</w:t>
      </w:r>
      <w:r w:rsidR="00403096">
        <w:rPr>
          <w:rFonts w:asciiTheme="minorHAnsi" w:hAnsiTheme="minorHAnsi" w:cstheme="minorHAnsi"/>
          <w:sz w:val="22"/>
          <w:szCs w:val="22"/>
        </w:rPr>
        <w:t xml:space="preserve"> </w:t>
      </w:r>
      <w:r w:rsidR="00BA6B68">
        <w:rPr>
          <w:rFonts w:asciiTheme="minorHAnsi" w:hAnsiTheme="minorHAnsi" w:cstheme="minorHAnsi"/>
          <w:sz w:val="22"/>
          <w:szCs w:val="22"/>
        </w:rPr>
        <w:t>Li,</w:t>
      </w:r>
      <w:r w:rsidR="00D750F3">
        <w:rPr>
          <w:rFonts w:asciiTheme="minorHAnsi" w:hAnsiTheme="minorHAnsi" w:cstheme="minorHAnsi"/>
          <w:sz w:val="22"/>
          <w:szCs w:val="22"/>
        </w:rPr>
        <w:t xml:space="preserve"> Lopes-Murphy, McCarty,</w:t>
      </w:r>
      <w:r w:rsidR="00BA6B68">
        <w:rPr>
          <w:rFonts w:asciiTheme="minorHAnsi" w:hAnsiTheme="minorHAnsi" w:cstheme="minorHAnsi"/>
          <w:sz w:val="22"/>
          <w:szCs w:val="22"/>
        </w:rPr>
        <w:t xml:space="preserve"> Morin,</w:t>
      </w:r>
      <w:r w:rsidR="00403096">
        <w:rPr>
          <w:rFonts w:asciiTheme="minorHAnsi" w:hAnsiTheme="minorHAnsi" w:cstheme="minorHAnsi"/>
          <w:sz w:val="22"/>
          <w:szCs w:val="22"/>
        </w:rPr>
        <w:t xml:space="preserve"> Norvell, O’Connell, </w:t>
      </w:r>
      <w:proofErr w:type="spellStart"/>
      <w:r w:rsidR="00D750F3">
        <w:rPr>
          <w:rFonts w:asciiTheme="minorHAnsi" w:hAnsiTheme="minorHAnsi" w:cstheme="minorHAnsi"/>
          <w:sz w:val="22"/>
          <w:szCs w:val="22"/>
        </w:rPr>
        <w:t>Paliwal</w:t>
      </w:r>
      <w:proofErr w:type="spellEnd"/>
      <w:r w:rsidR="00D750F3">
        <w:rPr>
          <w:rFonts w:asciiTheme="minorHAnsi" w:hAnsiTheme="minorHAnsi" w:cstheme="minorHAnsi"/>
          <w:sz w:val="22"/>
          <w:szCs w:val="22"/>
        </w:rPr>
        <w:t xml:space="preserve">, </w:t>
      </w:r>
      <w:r w:rsidR="00077B8D">
        <w:rPr>
          <w:rFonts w:asciiTheme="minorHAnsi" w:hAnsiTheme="minorHAnsi" w:cstheme="minorHAnsi"/>
          <w:sz w:val="22"/>
          <w:szCs w:val="22"/>
        </w:rPr>
        <w:t>Steinberg</w:t>
      </w:r>
      <w:r w:rsidR="00BA6B68">
        <w:rPr>
          <w:rFonts w:asciiTheme="minorHAnsi" w:hAnsiTheme="minorHAnsi" w:cstheme="minorHAnsi"/>
          <w:sz w:val="22"/>
          <w:szCs w:val="22"/>
        </w:rPr>
        <w:t>,</w:t>
      </w:r>
      <w:r w:rsidR="008D1523">
        <w:rPr>
          <w:rFonts w:asciiTheme="minorHAnsi" w:hAnsiTheme="minorHAnsi" w:cstheme="minorHAnsi"/>
          <w:sz w:val="22"/>
          <w:szCs w:val="22"/>
        </w:rPr>
        <w:t xml:space="preserve"> </w:t>
      </w:r>
      <w:proofErr w:type="spellStart"/>
      <w:r w:rsidR="008D1523">
        <w:rPr>
          <w:rFonts w:asciiTheme="minorHAnsi" w:hAnsiTheme="minorHAnsi" w:cstheme="minorHAnsi"/>
          <w:sz w:val="22"/>
          <w:szCs w:val="22"/>
        </w:rPr>
        <w:t>Vickerman</w:t>
      </w:r>
      <w:proofErr w:type="spellEnd"/>
      <w:r w:rsidR="008D1523">
        <w:rPr>
          <w:rFonts w:asciiTheme="minorHAnsi" w:hAnsiTheme="minorHAnsi" w:cstheme="minorHAnsi"/>
          <w:sz w:val="22"/>
          <w:szCs w:val="22"/>
        </w:rPr>
        <w:t>,</w:t>
      </w:r>
      <w:r w:rsidR="00077B8D">
        <w:rPr>
          <w:rFonts w:asciiTheme="minorHAnsi" w:hAnsiTheme="minorHAnsi" w:cstheme="minorHAnsi"/>
          <w:sz w:val="22"/>
          <w:szCs w:val="22"/>
        </w:rPr>
        <w:t xml:space="preserve"> </w:t>
      </w:r>
      <w:proofErr w:type="spellStart"/>
      <w:r w:rsidR="00D750F3">
        <w:rPr>
          <w:rFonts w:asciiTheme="minorHAnsi" w:hAnsiTheme="minorHAnsi" w:cstheme="minorHAnsi"/>
          <w:sz w:val="22"/>
          <w:szCs w:val="22"/>
        </w:rPr>
        <w:t>Weng</w:t>
      </w:r>
      <w:proofErr w:type="spellEnd"/>
      <w:r w:rsidR="00D750F3">
        <w:rPr>
          <w:rFonts w:asciiTheme="minorHAnsi" w:hAnsiTheme="minorHAnsi" w:cstheme="minorHAnsi"/>
          <w:sz w:val="22"/>
          <w:szCs w:val="22"/>
        </w:rPr>
        <w:t xml:space="preserve">, </w:t>
      </w:r>
      <w:r w:rsidR="00077B8D">
        <w:rPr>
          <w:rFonts w:asciiTheme="minorHAnsi" w:hAnsiTheme="minorHAnsi" w:cstheme="minorHAnsi"/>
          <w:sz w:val="22"/>
          <w:szCs w:val="22"/>
        </w:rPr>
        <w:t>Winston,</w:t>
      </w:r>
      <w:r w:rsidR="00BA6B68">
        <w:rPr>
          <w:rFonts w:asciiTheme="minorHAnsi" w:hAnsiTheme="minorHAnsi" w:cstheme="minorHAnsi"/>
          <w:sz w:val="22"/>
          <w:szCs w:val="22"/>
        </w:rPr>
        <w:t xml:space="preserve"> </w:t>
      </w:r>
      <w:proofErr w:type="spellStart"/>
      <w:r w:rsidR="00BA6B68">
        <w:rPr>
          <w:rFonts w:asciiTheme="minorHAnsi" w:hAnsiTheme="minorHAnsi" w:cstheme="minorHAnsi"/>
          <w:sz w:val="22"/>
          <w:szCs w:val="22"/>
        </w:rPr>
        <w:t>Wiita</w:t>
      </w:r>
      <w:proofErr w:type="spellEnd"/>
      <w:r w:rsidR="00403096">
        <w:rPr>
          <w:rFonts w:asciiTheme="minorHAnsi" w:hAnsiTheme="minorHAnsi" w:cstheme="minorHAnsi"/>
          <w:sz w:val="22"/>
          <w:szCs w:val="22"/>
        </w:rPr>
        <w:t>.</w:t>
      </w:r>
    </w:p>
    <w:p w:rsidR="0063649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8D1523">
        <w:rPr>
          <w:rFonts w:asciiTheme="minorHAnsi" w:hAnsiTheme="minorHAnsi" w:cstheme="minorHAnsi"/>
          <w:sz w:val="22"/>
          <w:szCs w:val="22"/>
        </w:rPr>
        <w:t xml:space="preserve">Adler, </w:t>
      </w:r>
      <w:proofErr w:type="spellStart"/>
      <w:r w:rsidR="008D1523">
        <w:rPr>
          <w:rFonts w:asciiTheme="minorHAnsi" w:hAnsiTheme="minorHAnsi" w:cstheme="minorHAnsi"/>
          <w:sz w:val="22"/>
          <w:szCs w:val="22"/>
        </w:rPr>
        <w:t>Brechman</w:t>
      </w:r>
      <w:proofErr w:type="spellEnd"/>
      <w:r w:rsidR="008D1523">
        <w:rPr>
          <w:rFonts w:asciiTheme="minorHAnsi" w:hAnsiTheme="minorHAnsi" w:cstheme="minorHAnsi"/>
          <w:sz w:val="22"/>
          <w:szCs w:val="22"/>
        </w:rPr>
        <w:t xml:space="preserve">, </w:t>
      </w:r>
      <w:proofErr w:type="spellStart"/>
      <w:r w:rsidR="008D1523">
        <w:rPr>
          <w:rFonts w:asciiTheme="minorHAnsi" w:hAnsiTheme="minorHAnsi" w:cstheme="minorHAnsi"/>
          <w:sz w:val="22"/>
          <w:szCs w:val="22"/>
        </w:rPr>
        <w:t>Jaksch</w:t>
      </w:r>
      <w:proofErr w:type="spellEnd"/>
    </w:p>
    <w:p w:rsidR="00460A2F" w:rsidRDefault="00460A2F" w:rsidP="00460A2F">
      <w:pPr>
        <w:rPr>
          <w:rFonts w:asciiTheme="minorHAnsi" w:hAnsiTheme="minorHAnsi" w:cstheme="minorHAnsi"/>
          <w:sz w:val="22"/>
          <w:szCs w:val="22"/>
        </w:rPr>
      </w:pPr>
      <w:r>
        <w:rPr>
          <w:rFonts w:asciiTheme="minorHAnsi" w:hAnsiTheme="minorHAnsi" w:cstheme="minorHAnsi"/>
          <w:b/>
          <w:sz w:val="22"/>
          <w:szCs w:val="22"/>
        </w:rPr>
        <w:t>Absent</w:t>
      </w:r>
      <w:r w:rsidRPr="00500434">
        <w:rPr>
          <w:rFonts w:asciiTheme="minorHAnsi" w:hAnsiTheme="minorHAnsi" w:cstheme="minorHAnsi"/>
          <w:b/>
          <w:sz w:val="22"/>
          <w:szCs w:val="22"/>
        </w:rPr>
        <w:t>:</w:t>
      </w:r>
      <w:r>
        <w:rPr>
          <w:rFonts w:asciiTheme="minorHAnsi" w:hAnsiTheme="minorHAnsi" w:cstheme="minorHAnsi"/>
          <w:b/>
          <w:sz w:val="22"/>
          <w:szCs w:val="22"/>
        </w:rPr>
        <w:t xml:space="preserve"> </w:t>
      </w:r>
      <w:r w:rsidR="008D1523">
        <w:rPr>
          <w:rFonts w:asciiTheme="minorHAnsi" w:hAnsiTheme="minorHAnsi" w:cstheme="minorHAnsi"/>
          <w:sz w:val="22"/>
          <w:szCs w:val="22"/>
        </w:rPr>
        <w:t xml:space="preserve">Benoit, </w:t>
      </w:r>
      <w:proofErr w:type="spellStart"/>
      <w:r w:rsidR="008D1523">
        <w:rPr>
          <w:rFonts w:asciiTheme="minorHAnsi" w:hAnsiTheme="minorHAnsi" w:cstheme="minorHAnsi"/>
          <w:sz w:val="22"/>
          <w:szCs w:val="22"/>
        </w:rPr>
        <w:t>Meixner</w:t>
      </w:r>
      <w:proofErr w:type="spellEnd"/>
      <w:r w:rsidR="008D1523">
        <w:rPr>
          <w:rFonts w:asciiTheme="minorHAnsi" w:hAnsiTheme="minorHAnsi" w:cstheme="minorHAnsi"/>
          <w:sz w:val="22"/>
          <w:szCs w:val="22"/>
        </w:rPr>
        <w:t>, Sears</w:t>
      </w:r>
    </w:p>
    <w:p w:rsidR="00403096" w:rsidRDefault="00403096" w:rsidP="00B76649">
      <w:pPr>
        <w:rPr>
          <w:rFonts w:asciiTheme="minorHAnsi" w:hAnsiTheme="minorHAnsi" w:cstheme="minorHAnsi"/>
          <w:b/>
          <w:sz w:val="22"/>
          <w:szCs w:val="22"/>
        </w:rPr>
      </w:pPr>
    </w:p>
    <w:p w:rsidR="00403096" w:rsidRDefault="00403096" w:rsidP="00B76649">
      <w:pPr>
        <w:rPr>
          <w:rFonts w:asciiTheme="minorHAnsi" w:hAnsiTheme="minorHAnsi" w:cstheme="minorHAnsi"/>
          <w:b/>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 xml:space="preserve">The minutes of the </w:t>
      </w:r>
      <w:r w:rsidR="008D1523">
        <w:rPr>
          <w:rFonts w:asciiTheme="minorHAnsi" w:hAnsiTheme="minorHAnsi" w:cstheme="minorHAnsi"/>
          <w:sz w:val="22"/>
          <w:szCs w:val="22"/>
        </w:rPr>
        <w:t xml:space="preserve">2/17/16 meeting had one correction: Under “Recommendations of the Appointments Committee, Don Hirsh’s term on CFA was amended to read “1-semester replacement.” Minutes approved as amended. </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BA6B68" w:rsidRDefault="008D1523" w:rsidP="008D1523">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Upcoming Events:</w:t>
      </w:r>
    </w:p>
    <w:p w:rsidR="008D1523" w:rsidRPr="008D1523" w:rsidRDefault="008D1523" w:rsidP="008D1523">
      <w:pPr>
        <w:pStyle w:val="ListParagraph"/>
        <w:numPr>
          <w:ilvl w:val="1"/>
          <w:numId w:val="16"/>
        </w:numPr>
        <w:rPr>
          <w:rFonts w:asciiTheme="minorHAnsi" w:hAnsiTheme="minorHAnsi" w:cstheme="minorHAnsi"/>
          <w:sz w:val="22"/>
          <w:szCs w:val="22"/>
        </w:rPr>
      </w:pPr>
      <w:r w:rsidRPr="008D1523">
        <w:rPr>
          <w:rFonts w:asciiTheme="minorHAnsi" w:hAnsiTheme="minorHAnsi" w:cstheme="minorHAnsi"/>
          <w:sz w:val="22"/>
          <w:szCs w:val="22"/>
        </w:rPr>
        <w:t>May 4, 4 pm, 1855 Room: End of the Semester Faculty Happy Hour</w:t>
      </w:r>
    </w:p>
    <w:p w:rsidR="008D1523" w:rsidRPr="008D1523" w:rsidRDefault="008D1523" w:rsidP="008D1523">
      <w:pPr>
        <w:pStyle w:val="ListParagraph"/>
        <w:numPr>
          <w:ilvl w:val="1"/>
          <w:numId w:val="16"/>
        </w:numPr>
        <w:rPr>
          <w:rFonts w:asciiTheme="minorHAnsi" w:hAnsiTheme="minorHAnsi" w:cstheme="minorHAnsi"/>
          <w:sz w:val="22"/>
          <w:szCs w:val="22"/>
        </w:rPr>
      </w:pPr>
      <w:r w:rsidRPr="008D1523">
        <w:rPr>
          <w:rFonts w:asciiTheme="minorHAnsi" w:hAnsiTheme="minorHAnsi" w:cstheme="minorHAnsi"/>
          <w:sz w:val="22"/>
          <w:szCs w:val="22"/>
        </w:rPr>
        <w:t xml:space="preserve">May 9, 9 am, Business Lounge: Faculty Senate meeting </w:t>
      </w:r>
    </w:p>
    <w:p w:rsidR="008D1523" w:rsidRDefault="008D1523" w:rsidP="008D1523">
      <w:pPr>
        <w:pStyle w:val="ListParagraph"/>
        <w:numPr>
          <w:ilvl w:val="1"/>
          <w:numId w:val="16"/>
        </w:numPr>
        <w:rPr>
          <w:rFonts w:asciiTheme="minorHAnsi" w:hAnsiTheme="minorHAnsi" w:cstheme="minorHAnsi"/>
          <w:sz w:val="22"/>
          <w:szCs w:val="22"/>
        </w:rPr>
      </w:pPr>
      <w:r w:rsidRPr="008D1523">
        <w:rPr>
          <w:rFonts w:asciiTheme="minorHAnsi" w:hAnsiTheme="minorHAnsi" w:cstheme="minorHAnsi"/>
          <w:sz w:val="22"/>
          <w:szCs w:val="22"/>
        </w:rPr>
        <w:t xml:space="preserve">May 9, 11 am, Business Lounge: Dr. </w:t>
      </w:r>
      <w:proofErr w:type="spellStart"/>
      <w:r w:rsidRPr="008D1523">
        <w:rPr>
          <w:rFonts w:asciiTheme="minorHAnsi" w:hAnsiTheme="minorHAnsi" w:cstheme="minorHAnsi"/>
          <w:sz w:val="22"/>
          <w:szCs w:val="22"/>
        </w:rPr>
        <w:t>Terrel</w:t>
      </w:r>
      <w:proofErr w:type="spellEnd"/>
      <w:r w:rsidRPr="008D1523">
        <w:rPr>
          <w:rFonts w:asciiTheme="minorHAnsi" w:hAnsiTheme="minorHAnsi" w:cstheme="minorHAnsi"/>
          <w:sz w:val="22"/>
          <w:szCs w:val="22"/>
        </w:rPr>
        <w:t xml:space="preserve"> Rhodes, “Knowing What We Know About What We Don't Know: Liberal Learning Today and Tomorrow”</w:t>
      </w:r>
    </w:p>
    <w:p w:rsidR="008D1523" w:rsidRDefault="008D1523" w:rsidP="008D1523">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There is an AFT meeting this afternoon in 136 Armstrong.</w:t>
      </w:r>
    </w:p>
    <w:p w:rsidR="008D1523" w:rsidRDefault="008D1523" w:rsidP="008D1523">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Upcoming Open </w:t>
      </w:r>
      <w:proofErr w:type="spellStart"/>
      <w:r>
        <w:rPr>
          <w:rFonts w:asciiTheme="minorHAnsi" w:hAnsiTheme="minorHAnsi" w:cstheme="minorHAnsi"/>
          <w:sz w:val="22"/>
          <w:szCs w:val="22"/>
        </w:rPr>
        <w:t>Fora</w:t>
      </w:r>
      <w:proofErr w:type="spellEnd"/>
      <w:r>
        <w:rPr>
          <w:rFonts w:asciiTheme="minorHAnsi" w:hAnsiTheme="minorHAnsi" w:cstheme="minorHAnsi"/>
          <w:sz w:val="22"/>
          <w:szCs w:val="22"/>
        </w:rPr>
        <w:t>:</w:t>
      </w:r>
    </w:p>
    <w:p w:rsidR="008D1523" w:rsidRDefault="008D1523" w:rsidP="008D1523">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CSCC – Title IX Policy and Student Conduct – Tuesday, April 26</w:t>
      </w:r>
      <w:r w:rsidRPr="008D1523">
        <w:rPr>
          <w:rFonts w:asciiTheme="minorHAnsi" w:hAnsiTheme="minorHAnsi" w:cstheme="minorHAnsi"/>
          <w:sz w:val="22"/>
          <w:szCs w:val="22"/>
          <w:vertAlign w:val="superscript"/>
        </w:rPr>
        <w:t>th</w:t>
      </w:r>
      <w:r>
        <w:rPr>
          <w:rFonts w:asciiTheme="minorHAnsi" w:hAnsiTheme="minorHAnsi" w:cstheme="minorHAnsi"/>
          <w:sz w:val="22"/>
          <w:szCs w:val="22"/>
        </w:rPr>
        <w:t>, 3:30-4:30 pm, Kendall 233.</w:t>
      </w:r>
    </w:p>
    <w:p w:rsidR="008D1523" w:rsidRDefault="008D1523" w:rsidP="008D1523">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CAP – Program Approval, Graduate Certificate Programs, Undergraduate Internships, and Change of Major – Tuesday, April 26</w:t>
      </w:r>
      <w:r w:rsidRPr="008D1523">
        <w:rPr>
          <w:rFonts w:asciiTheme="minorHAnsi" w:hAnsiTheme="minorHAnsi" w:cstheme="minorHAnsi"/>
          <w:sz w:val="22"/>
          <w:szCs w:val="22"/>
          <w:vertAlign w:val="superscript"/>
        </w:rPr>
        <w:t>th</w:t>
      </w:r>
      <w:r>
        <w:rPr>
          <w:rFonts w:asciiTheme="minorHAnsi" w:hAnsiTheme="minorHAnsi" w:cstheme="minorHAnsi"/>
          <w:sz w:val="22"/>
          <w:szCs w:val="22"/>
        </w:rPr>
        <w:t>, 12:30-1:30 pm, Social Sciences 230.</w:t>
      </w:r>
    </w:p>
    <w:p w:rsidR="008D1523" w:rsidRDefault="008D1523" w:rsidP="00E24D85">
      <w:pPr>
        <w:pStyle w:val="ListParagraph"/>
        <w:numPr>
          <w:ilvl w:val="0"/>
          <w:numId w:val="16"/>
        </w:numPr>
        <w:rPr>
          <w:rFonts w:asciiTheme="minorHAnsi" w:hAnsiTheme="minorHAnsi" w:cstheme="minorHAnsi"/>
          <w:sz w:val="22"/>
          <w:szCs w:val="22"/>
        </w:rPr>
      </w:pPr>
      <w:r w:rsidRPr="00E24D85">
        <w:rPr>
          <w:rFonts w:asciiTheme="minorHAnsi" w:hAnsiTheme="minorHAnsi" w:cstheme="minorHAnsi"/>
          <w:sz w:val="22"/>
          <w:szCs w:val="22"/>
        </w:rPr>
        <w:t xml:space="preserve">Amanda thanked the outgoing senators for their service: </w:t>
      </w:r>
      <w:r w:rsidR="00E24D85" w:rsidRPr="00E24D85">
        <w:rPr>
          <w:rFonts w:asciiTheme="minorHAnsi" w:hAnsiTheme="minorHAnsi" w:cstheme="minorHAnsi"/>
          <w:sz w:val="22"/>
          <w:szCs w:val="22"/>
        </w:rPr>
        <w:t xml:space="preserve">Rachel Adler, James </w:t>
      </w:r>
      <w:proofErr w:type="spellStart"/>
      <w:r w:rsidR="00E24D85" w:rsidRPr="00E24D85">
        <w:rPr>
          <w:rFonts w:asciiTheme="minorHAnsi" w:hAnsiTheme="minorHAnsi" w:cstheme="minorHAnsi"/>
          <w:sz w:val="22"/>
          <w:szCs w:val="22"/>
        </w:rPr>
        <w:t>Beyers</w:t>
      </w:r>
      <w:proofErr w:type="spellEnd"/>
      <w:r w:rsidR="00E24D85" w:rsidRPr="00E24D85">
        <w:rPr>
          <w:rFonts w:asciiTheme="minorHAnsi" w:hAnsiTheme="minorHAnsi" w:cstheme="minorHAnsi"/>
          <w:sz w:val="22"/>
          <w:szCs w:val="22"/>
        </w:rPr>
        <w:t xml:space="preserve">, </w:t>
      </w:r>
      <w:proofErr w:type="spellStart"/>
      <w:r w:rsidR="00E24D85" w:rsidRPr="00E24D85">
        <w:rPr>
          <w:rFonts w:asciiTheme="minorHAnsi" w:hAnsiTheme="minorHAnsi" w:cstheme="minorHAnsi"/>
          <w:sz w:val="22"/>
          <w:szCs w:val="22"/>
        </w:rPr>
        <w:t>Winnifred</w:t>
      </w:r>
      <w:proofErr w:type="spellEnd"/>
      <w:r w:rsidR="00E24D85" w:rsidRPr="00E24D85">
        <w:rPr>
          <w:rFonts w:asciiTheme="minorHAnsi" w:hAnsiTheme="minorHAnsi" w:cstheme="minorHAnsi"/>
          <w:sz w:val="22"/>
          <w:szCs w:val="22"/>
        </w:rPr>
        <w:t xml:space="preserve"> Brown-</w:t>
      </w:r>
      <w:proofErr w:type="spellStart"/>
      <w:r w:rsidR="00E24D85" w:rsidRPr="00E24D85">
        <w:rPr>
          <w:rFonts w:asciiTheme="minorHAnsi" w:hAnsiTheme="minorHAnsi" w:cstheme="minorHAnsi"/>
          <w:sz w:val="22"/>
          <w:szCs w:val="22"/>
        </w:rPr>
        <w:t>Glaude</w:t>
      </w:r>
      <w:proofErr w:type="spellEnd"/>
      <w:r w:rsidR="00E24D85" w:rsidRPr="00E24D85">
        <w:rPr>
          <w:rFonts w:asciiTheme="minorHAnsi" w:hAnsiTheme="minorHAnsi" w:cstheme="minorHAnsi"/>
          <w:sz w:val="22"/>
          <w:szCs w:val="22"/>
        </w:rPr>
        <w:t xml:space="preserve">. Anthony </w:t>
      </w:r>
      <w:proofErr w:type="spellStart"/>
      <w:r w:rsidR="00E24D85" w:rsidRPr="00E24D85">
        <w:rPr>
          <w:rFonts w:asciiTheme="minorHAnsi" w:hAnsiTheme="minorHAnsi" w:cstheme="minorHAnsi"/>
          <w:sz w:val="22"/>
          <w:szCs w:val="22"/>
        </w:rPr>
        <w:t>Deese</w:t>
      </w:r>
      <w:proofErr w:type="spellEnd"/>
      <w:r w:rsidR="00E24D85" w:rsidRPr="00E24D85">
        <w:rPr>
          <w:rFonts w:asciiTheme="minorHAnsi" w:hAnsiTheme="minorHAnsi" w:cstheme="minorHAnsi"/>
          <w:sz w:val="22"/>
          <w:szCs w:val="22"/>
        </w:rPr>
        <w:t xml:space="preserve">, Brenda </w:t>
      </w:r>
      <w:proofErr w:type="spellStart"/>
      <w:r w:rsidR="00E24D85" w:rsidRPr="00E24D85">
        <w:rPr>
          <w:rFonts w:asciiTheme="minorHAnsi" w:hAnsiTheme="minorHAnsi" w:cstheme="minorHAnsi"/>
          <w:sz w:val="22"/>
          <w:szCs w:val="22"/>
        </w:rPr>
        <w:t>Ghitulescu</w:t>
      </w:r>
      <w:proofErr w:type="spellEnd"/>
      <w:r w:rsidR="00E24D85" w:rsidRPr="00E24D85">
        <w:rPr>
          <w:rFonts w:asciiTheme="minorHAnsi" w:hAnsiTheme="minorHAnsi" w:cstheme="minorHAnsi"/>
          <w:sz w:val="22"/>
          <w:szCs w:val="22"/>
        </w:rPr>
        <w:t xml:space="preserve">, Colette </w:t>
      </w:r>
      <w:proofErr w:type="spellStart"/>
      <w:r w:rsidR="00E24D85" w:rsidRPr="00E24D85">
        <w:rPr>
          <w:rFonts w:asciiTheme="minorHAnsi" w:hAnsiTheme="minorHAnsi" w:cstheme="minorHAnsi"/>
          <w:sz w:val="22"/>
          <w:szCs w:val="22"/>
        </w:rPr>
        <w:t>Gosselin</w:t>
      </w:r>
      <w:proofErr w:type="spellEnd"/>
      <w:r w:rsidR="00E24D85" w:rsidRPr="00E24D85">
        <w:rPr>
          <w:rFonts w:asciiTheme="minorHAnsi" w:hAnsiTheme="minorHAnsi" w:cstheme="minorHAnsi"/>
          <w:sz w:val="22"/>
          <w:szCs w:val="22"/>
        </w:rPr>
        <w:t xml:space="preserve">, Danielle </w:t>
      </w:r>
      <w:proofErr w:type="spellStart"/>
      <w:r w:rsidR="00E24D85" w:rsidRPr="00E24D85">
        <w:rPr>
          <w:rFonts w:asciiTheme="minorHAnsi" w:hAnsiTheme="minorHAnsi" w:cstheme="minorHAnsi"/>
          <w:sz w:val="22"/>
          <w:szCs w:val="22"/>
        </w:rPr>
        <w:t>Guaracino</w:t>
      </w:r>
      <w:proofErr w:type="spellEnd"/>
      <w:r w:rsidR="00E24D85" w:rsidRPr="00E24D85">
        <w:rPr>
          <w:rFonts w:asciiTheme="minorHAnsi" w:hAnsiTheme="minorHAnsi" w:cstheme="minorHAnsi"/>
          <w:sz w:val="22"/>
          <w:szCs w:val="22"/>
        </w:rPr>
        <w:t xml:space="preserve">, Rebecca Li, John McCarty, </w:t>
      </w:r>
      <w:r w:rsidR="00E24D85">
        <w:rPr>
          <w:rFonts w:asciiTheme="minorHAnsi" w:hAnsiTheme="minorHAnsi" w:cstheme="minorHAnsi"/>
          <w:sz w:val="22"/>
          <w:szCs w:val="22"/>
        </w:rPr>
        <w:t xml:space="preserve">and </w:t>
      </w:r>
      <w:r w:rsidR="00E24D85" w:rsidRPr="00E24D85">
        <w:rPr>
          <w:rFonts w:asciiTheme="minorHAnsi" w:hAnsiTheme="minorHAnsi" w:cstheme="minorHAnsi"/>
          <w:sz w:val="22"/>
          <w:szCs w:val="22"/>
        </w:rPr>
        <w:t>Marcia O'Connell</w:t>
      </w:r>
      <w:r w:rsidR="00E24D85">
        <w:rPr>
          <w:rFonts w:asciiTheme="minorHAnsi" w:hAnsiTheme="minorHAnsi" w:cstheme="minorHAnsi"/>
          <w:sz w:val="22"/>
          <w:szCs w:val="22"/>
        </w:rPr>
        <w:t>.</w:t>
      </w:r>
    </w:p>
    <w:p w:rsidR="00E24D85" w:rsidRPr="00E24D85" w:rsidRDefault="00E24D85" w:rsidP="00E24D85">
      <w:pPr>
        <w:pStyle w:val="ListParagraph"/>
        <w:rPr>
          <w:rFonts w:asciiTheme="minorHAnsi" w:hAnsiTheme="minorHAnsi" w:cstheme="minorHAnsi"/>
          <w:sz w:val="22"/>
          <w:szCs w:val="22"/>
        </w:rPr>
      </w:pPr>
    </w:p>
    <w:p w:rsidR="008D1523" w:rsidRPr="008D1523" w:rsidRDefault="008D1523" w:rsidP="008D1523">
      <w:pPr>
        <w:rPr>
          <w:rFonts w:asciiTheme="minorHAnsi" w:hAnsiTheme="minorHAnsi" w:cstheme="minorHAnsi"/>
          <w:sz w:val="22"/>
          <w:szCs w:val="22"/>
        </w:rPr>
      </w:pPr>
    </w:p>
    <w:p w:rsidR="007A0787" w:rsidRPr="007A0787" w:rsidRDefault="00E24D85" w:rsidP="007A0787">
      <w:pPr>
        <w:rPr>
          <w:rFonts w:asciiTheme="minorHAnsi" w:hAnsiTheme="minorHAnsi" w:cstheme="minorHAnsi"/>
          <w:b/>
          <w:sz w:val="22"/>
          <w:szCs w:val="22"/>
        </w:rPr>
      </w:pPr>
      <w:r>
        <w:rPr>
          <w:rFonts w:asciiTheme="minorHAnsi" w:hAnsiTheme="minorHAnsi" w:cstheme="minorHAnsi"/>
          <w:b/>
          <w:sz w:val="22"/>
          <w:szCs w:val="22"/>
        </w:rPr>
        <w:t>BUDGET UPDATE</w:t>
      </w:r>
    </w:p>
    <w:p w:rsidR="003239C9" w:rsidRDefault="00E24D85"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President </w:t>
      </w:r>
      <w:proofErr w:type="spellStart"/>
      <w:r>
        <w:rPr>
          <w:rFonts w:asciiTheme="minorHAnsi" w:hAnsiTheme="minorHAnsi" w:cstheme="minorHAnsi"/>
          <w:sz w:val="22"/>
          <w:szCs w:val="22"/>
        </w:rPr>
        <w:t>Gitenstein</w:t>
      </w:r>
      <w:proofErr w:type="spellEnd"/>
      <w:r>
        <w:rPr>
          <w:rFonts w:asciiTheme="minorHAnsi" w:hAnsiTheme="minorHAnsi" w:cstheme="minorHAnsi"/>
          <w:sz w:val="22"/>
          <w:szCs w:val="22"/>
        </w:rPr>
        <w:t xml:space="preserve">, Provost Taylor, and </w:t>
      </w:r>
      <w:r w:rsidR="00DD4162">
        <w:rPr>
          <w:rFonts w:asciiTheme="minorHAnsi" w:hAnsiTheme="minorHAnsi" w:cstheme="minorHAnsi"/>
          <w:sz w:val="22"/>
          <w:szCs w:val="22"/>
        </w:rPr>
        <w:t>Treasurer Ricketts gave an overv</w:t>
      </w:r>
      <w:r>
        <w:rPr>
          <w:rFonts w:asciiTheme="minorHAnsi" w:hAnsiTheme="minorHAnsi" w:cstheme="minorHAnsi"/>
          <w:sz w:val="22"/>
          <w:szCs w:val="22"/>
        </w:rPr>
        <w:t>iew of the FY 17 budget plan.</w:t>
      </w:r>
    </w:p>
    <w:p w:rsidR="00E24D85" w:rsidRDefault="00E24D85" w:rsidP="00F3443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 and questions.</w:t>
      </w:r>
    </w:p>
    <w:p w:rsidR="00C835D6" w:rsidRDefault="00C835D6" w:rsidP="00C835D6">
      <w:pPr>
        <w:rPr>
          <w:rFonts w:asciiTheme="minorHAnsi" w:hAnsiTheme="minorHAnsi" w:cstheme="minorHAnsi"/>
          <w:sz w:val="22"/>
          <w:szCs w:val="22"/>
        </w:rPr>
      </w:pPr>
    </w:p>
    <w:p w:rsidR="00C835D6" w:rsidRPr="00A42BAA" w:rsidRDefault="00E24D85" w:rsidP="00C835D6">
      <w:pPr>
        <w:rPr>
          <w:rFonts w:asciiTheme="minorHAnsi" w:hAnsiTheme="minorHAnsi" w:cstheme="minorHAnsi"/>
          <w:b/>
          <w:sz w:val="22"/>
          <w:szCs w:val="22"/>
        </w:rPr>
      </w:pPr>
      <w:r>
        <w:rPr>
          <w:rFonts w:asciiTheme="minorHAnsi" w:hAnsiTheme="minorHAnsi" w:cstheme="minorHAnsi"/>
          <w:b/>
          <w:sz w:val="22"/>
          <w:szCs w:val="22"/>
        </w:rPr>
        <w:t>REPORT FROM TLPC</w:t>
      </w:r>
    </w:p>
    <w:p w:rsidR="00E24D85" w:rsidRPr="00E24D85" w:rsidRDefault="00E24D85" w:rsidP="00E24D85">
      <w:pPr>
        <w:pStyle w:val="ListParagraph"/>
        <w:numPr>
          <w:ilvl w:val="0"/>
          <w:numId w:val="30"/>
        </w:numPr>
        <w:rPr>
          <w:rFonts w:asciiTheme="minorHAnsi" w:hAnsiTheme="minorHAnsi" w:cstheme="minorHAnsi"/>
          <w:b/>
          <w:sz w:val="22"/>
          <w:szCs w:val="22"/>
        </w:rPr>
      </w:pPr>
      <w:r>
        <w:rPr>
          <w:rFonts w:asciiTheme="minorHAnsi" w:hAnsiTheme="minorHAnsi" w:cstheme="minorHAnsi"/>
          <w:sz w:val="22"/>
          <w:szCs w:val="22"/>
        </w:rPr>
        <w:t xml:space="preserve">Helene </w:t>
      </w:r>
      <w:r w:rsidR="00DD4162">
        <w:rPr>
          <w:rFonts w:asciiTheme="minorHAnsi" w:hAnsiTheme="minorHAnsi" w:cstheme="minorHAnsi"/>
          <w:sz w:val="22"/>
          <w:szCs w:val="22"/>
        </w:rPr>
        <w:t xml:space="preserve">Anthony </w:t>
      </w:r>
      <w:r>
        <w:rPr>
          <w:rFonts w:asciiTheme="minorHAnsi" w:hAnsiTheme="minorHAnsi" w:cstheme="minorHAnsi"/>
          <w:sz w:val="22"/>
          <w:szCs w:val="22"/>
        </w:rPr>
        <w:t>reported on the Teaching and Learning Program Council, reviewing what the council does and who is currently on it.</w:t>
      </w:r>
    </w:p>
    <w:p w:rsidR="00DD4162" w:rsidRPr="00DD4162" w:rsidRDefault="00E24D85" w:rsidP="00E24D85">
      <w:pPr>
        <w:pStyle w:val="ListParagraph"/>
        <w:numPr>
          <w:ilvl w:val="0"/>
          <w:numId w:val="30"/>
        </w:numPr>
        <w:rPr>
          <w:rFonts w:asciiTheme="minorHAnsi" w:hAnsiTheme="minorHAnsi" w:cstheme="minorHAnsi"/>
          <w:b/>
          <w:sz w:val="22"/>
          <w:szCs w:val="22"/>
        </w:rPr>
      </w:pPr>
      <w:r>
        <w:rPr>
          <w:rFonts w:asciiTheme="minorHAnsi" w:hAnsiTheme="minorHAnsi" w:cstheme="minorHAnsi"/>
          <w:sz w:val="22"/>
          <w:szCs w:val="22"/>
        </w:rPr>
        <w:t>Discussion and questions.</w:t>
      </w:r>
    </w:p>
    <w:p w:rsidR="00A42BAA" w:rsidRDefault="00DD4162" w:rsidP="00E24D85">
      <w:pPr>
        <w:pStyle w:val="ListParagraph"/>
        <w:numPr>
          <w:ilvl w:val="0"/>
          <w:numId w:val="30"/>
        </w:numPr>
        <w:rPr>
          <w:rFonts w:asciiTheme="minorHAnsi" w:hAnsiTheme="minorHAnsi" w:cstheme="minorHAnsi"/>
          <w:b/>
          <w:sz w:val="22"/>
          <w:szCs w:val="22"/>
        </w:rPr>
      </w:pPr>
      <w:r>
        <w:rPr>
          <w:rFonts w:asciiTheme="minorHAnsi" w:hAnsiTheme="minorHAnsi" w:cstheme="minorHAnsi"/>
          <w:sz w:val="22"/>
          <w:szCs w:val="22"/>
        </w:rPr>
        <w:t xml:space="preserve">The report is attached. </w:t>
      </w:r>
      <w:r w:rsidRPr="00DD4162">
        <w:rPr>
          <w:rFonts w:asciiTheme="minorHAnsi" w:hAnsiTheme="minorHAnsi" w:cstheme="minorHAnsi"/>
          <w:b/>
          <w:sz w:val="22"/>
          <w:szCs w:val="22"/>
        </w:rPr>
        <w:t>(Attachment 1)</w:t>
      </w:r>
      <w:r w:rsidR="00E24D85">
        <w:rPr>
          <w:rFonts w:asciiTheme="minorHAnsi" w:hAnsiTheme="minorHAnsi" w:cstheme="minorHAnsi"/>
          <w:sz w:val="22"/>
          <w:szCs w:val="22"/>
        </w:rPr>
        <w:br/>
      </w:r>
    </w:p>
    <w:p w:rsidR="00A42BAA" w:rsidRPr="00A42BAA" w:rsidRDefault="00E24D85" w:rsidP="00A42BAA">
      <w:pPr>
        <w:rPr>
          <w:rFonts w:asciiTheme="minorHAnsi" w:hAnsiTheme="minorHAnsi" w:cstheme="minorHAnsi"/>
          <w:b/>
          <w:sz w:val="22"/>
          <w:szCs w:val="22"/>
        </w:rPr>
      </w:pPr>
      <w:r>
        <w:rPr>
          <w:rFonts w:asciiTheme="minorHAnsi" w:hAnsiTheme="minorHAnsi" w:cstheme="minorHAnsi"/>
          <w:b/>
          <w:sz w:val="22"/>
          <w:szCs w:val="22"/>
        </w:rPr>
        <w:t>GOVERNANCE REVIEW UPDATE</w:t>
      </w:r>
    </w:p>
    <w:p w:rsidR="00786279" w:rsidRDefault="00E24D85" w:rsidP="003239C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Matt gave an update on the governance review.</w:t>
      </w:r>
    </w:p>
    <w:p w:rsidR="00E24D85" w:rsidRDefault="00E24D85"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process is taking longer than expected and will go into next year.</w:t>
      </w:r>
    </w:p>
    <w:p w:rsidR="00E24D85" w:rsidRDefault="00E24D85"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lastRenderedPageBreak/>
        <w:t>They hope to have an internal draft done by the end of the AY for the Steering Committee, who will review it and hopefully have it out to the rest of campus by fall.</w:t>
      </w:r>
    </w:p>
    <w:p w:rsidR="00E24D85" w:rsidRDefault="00E24D85"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They are looking at staffing numbers on committees</w:t>
      </w:r>
      <w:r w:rsidR="00DD4162">
        <w:rPr>
          <w:rFonts w:asciiTheme="minorHAnsi" w:hAnsiTheme="minorHAnsi" w:cstheme="minorHAnsi"/>
          <w:sz w:val="22"/>
          <w:szCs w:val="22"/>
        </w:rPr>
        <w:t xml:space="preserve"> and adding new committees.</w:t>
      </w:r>
    </w:p>
    <w:p w:rsidR="00DD4162" w:rsidRDefault="00DD4162"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They are working on changes to the Wednesday calendar.</w:t>
      </w:r>
    </w:p>
    <w:p w:rsidR="00DD4162" w:rsidRDefault="00DD4162"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They are looking at changes in how testimony is gathered.</w:t>
      </w:r>
    </w:p>
    <w:p w:rsidR="00DD4162" w:rsidRPr="00E24D85" w:rsidRDefault="00DD4162" w:rsidP="00E24D85">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 and questions.</w:t>
      </w:r>
    </w:p>
    <w:p w:rsidR="00786279" w:rsidRDefault="00786279" w:rsidP="00B90EEB">
      <w:pPr>
        <w:rPr>
          <w:rFonts w:asciiTheme="minorHAnsi" w:hAnsiTheme="minorHAnsi" w:cstheme="minorHAnsi"/>
          <w:b/>
          <w:sz w:val="22"/>
          <w:szCs w:val="22"/>
        </w:rPr>
      </w:pPr>
    </w:p>
    <w:p w:rsidR="00B90EEB" w:rsidRDefault="00B30B17" w:rsidP="00B90EEB">
      <w:pPr>
        <w:rPr>
          <w:rFonts w:asciiTheme="minorHAnsi" w:hAnsiTheme="minorHAnsi" w:cstheme="minorHAnsi"/>
          <w:b/>
          <w:sz w:val="22"/>
          <w:szCs w:val="22"/>
        </w:rPr>
      </w:pPr>
      <w:r>
        <w:rPr>
          <w:rFonts w:asciiTheme="minorHAnsi" w:hAnsiTheme="minorHAnsi" w:cstheme="minorHAnsi"/>
          <w:b/>
          <w:sz w:val="22"/>
          <w:szCs w:val="22"/>
        </w:rPr>
        <w:t>REPORTS FROM STANDING COMMITTEE</w:t>
      </w:r>
    </w:p>
    <w:p w:rsidR="00DD4162" w:rsidRDefault="00DD4162" w:rsidP="00F50475">
      <w:pPr>
        <w:pStyle w:val="HTMLPreformatted"/>
        <w:numPr>
          <w:ilvl w:val="0"/>
          <w:numId w:val="22"/>
        </w:numPr>
        <w:rPr>
          <w:rFonts w:asciiTheme="minorHAnsi" w:hAnsiTheme="minorHAnsi" w:cstheme="minorHAnsi"/>
          <w:sz w:val="22"/>
          <w:szCs w:val="22"/>
        </w:rPr>
      </w:pPr>
      <w:r>
        <w:rPr>
          <w:rFonts w:asciiTheme="minorHAnsi" w:hAnsiTheme="minorHAnsi" w:cstheme="minorHAnsi"/>
          <w:sz w:val="22"/>
          <w:szCs w:val="22"/>
        </w:rPr>
        <w:t>Due to time constraints, the reports from the standing committees were emailed to the senate members after the meeting. They are attached as follows:</w:t>
      </w:r>
    </w:p>
    <w:p w:rsidR="00F50475" w:rsidRDefault="00F50475" w:rsidP="00DD4162">
      <w:pPr>
        <w:pStyle w:val="HTMLPreformatted"/>
        <w:numPr>
          <w:ilvl w:val="1"/>
          <w:numId w:val="22"/>
        </w:numPr>
        <w:rPr>
          <w:rFonts w:asciiTheme="minorHAnsi" w:hAnsiTheme="minorHAnsi" w:cstheme="minorHAnsi"/>
          <w:sz w:val="22"/>
          <w:szCs w:val="22"/>
        </w:rPr>
      </w:pPr>
      <w:r w:rsidRPr="00712CD7">
        <w:rPr>
          <w:rFonts w:asciiTheme="minorHAnsi" w:hAnsiTheme="minorHAnsi" w:cstheme="minorHAnsi"/>
          <w:sz w:val="22"/>
          <w:szCs w:val="22"/>
        </w:rPr>
        <w:t xml:space="preserve">CAP – </w:t>
      </w:r>
      <w:r w:rsidR="00F308B1" w:rsidRPr="00F308B1">
        <w:rPr>
          <w:rFonts w:asciiTheme="minorHAnsi" w:hAnsiTheme="minorHAnsi" w:cstheme="minorHAnsi"/>
          <w:b/>
          <w:sz w:val="22"/>
          <w:szCs w:val="22"/>
        </w:rPr>
        <w:t xml:space="preserve">(Attachment </w:t>
      </w:r>
      <w:r w:rsidR="00DD4162">
        <w:rPr>
          <w:rFonts w:asciiTheme="minorHAnsi" w:hAnsiTheme="minorHAnsi" w:cstheme="minorHAnsi"/>
          <w:b/>
          <w:sz w:val="22"/>
          <w:szCs w:val="22"/>
        </w:rPr>
        <w:t>2</w:t>
      </w:r>
      <w:r w:rsidR="00F308B1" w:rsidRPr="00F308B1">
        <w:rPr>
          <w:rFonts w:asciiTheme="minorHAnsi" w:hAnsiTheme="minorHAnsi" w:cstheme="minorHAnsi"/>
          <w:b/>
          <w:sz w:val="22"/>
          <w:szCs w:val="22"/>
        </w:rPr>
        <w:t>)</w:t>
      </w:r>
    </w:p>
    <w:p w:rsidR="00F50475" w:rsidRDefault="00F50475" w:rsidP="00DD4162">
      <w:pPr>
        <w:pStyle w:val="HTMLPreformatted"/>
        <w:numPr>
          <w:ilvl w:val="1"/>
          <w:numId w:val="22"/>
        </w:numPr>
        <w:rPr>
          <w:rFonts w:asciiTheme="minorHAnsi" w:hAnsiTheme="minorHAnsi" w:cstheme="minorHAnsi"/>
          <w:sz w:val="22"/>
          <w:szCs w:val="22"/>
        </w:rPr>
      </w:pPr>
      <w:r w:rsidRPr="00712CD7">
        <w:rPr>
          <w:rFonts w:asciiTheme="minorHAnsi" w:hAnsiTheme="minorHAnsi" w:cstheme="minorHAnsi"/>
          <w:sz w:val="22"/>
          <w:szCs w:val="22"/>
        </w:rPr>
        <w:t xml:space="preserve">CFA – </w:t>
      </w:r>
      <w:r w:rsidR="00DD4162">
        <w:rPr>
          <w:rFonts w:asciiTheme="minorHAnsi" w:hAnsiTheme="minorHAnsi" w:cstheme="minorHAnsi"/>
          <w:b/>
          <w:sz w:val="22"/>
          <w:szCs w:val="22"/>
        </w:rPr>
        <w:t>(Attachment 3</w:t>
      </w:r>
      <w:r w:rsidR="00786279" w:rsidRPr="00786279">
        <w:rPr>
          <w:rFonts w:asciiTheme="minorHAnsi" w:hAnsiTheme="minorHAnsi" w:cstheme="minorHAnsi"/>
          <w:b/>
          <w:sz w:val="22"/>
          <w:szCs w:val="22"/>
        </w:rPr>
        <w:t>)</w:t>
      </w:r>
    </w:p>
    <w:p w:rsidR="006E2AE8" w:rsidRPr="004A6A80" w:rsidRDefault="00F50475" w:rsidP="00DD4162">
      <w:pPr>
        <w:pStyle w:val="ListParagraph"/>
        <w:numPr>
          <w:ilvl w:val="1"/>
          <w:numId w:val="14"/>
        </w:numPr>
        <w:rPr>
          <w:rFonts w:asciiTheme="minorHAnsi" w:hAnsiTheme="minorHAnsi" w:cstheme="minorHAnsi"/>
          <w:sz w:val="22"/>
          <w:szCs w:val="22"/>
        </w:rPr>
      </w:pPr>
      <w:r w:rsidRPr="009A0216">
        <w:rPr>
          <w:rFonts w:asciiTheme="minorHAnsi" w:hAnsiTheme="minorHAnsi" w:cstheme="minorHAnsi"/>
          <w:sz w:val="22"/>
          <w:szCs w:val="22"/>
        </w:rPr>
        <w:t xml:space="preserve">CSPP – </w:t>
      </w:r>
      <w:r w:rsidR="00F2315F" w:rsidRPr="00C71137">
        <w:rPr>
          <w:rFonts w:asciiTheme="minorHAnsi" w:hAnsiTheme="minorHAnsi" w:cstheme="minorHAnsi"/>
          <w:b/>
          <w:sz w:val="22"/>
          <w:szCs w:val="22"/>
        </w:rPr>
        <w:t xml:space="preserve">(Attachment </w:t>
      </w:r>
      <w:r w:rsidR="00DD4162">
        <w:rPr>
          <w:rFonts w:asciiTheme="minorHAnsi" w:hAnsiTheme="minorHAnsi" w:cstheme="minorHAnsi"/>
          <w:b/>
          <w:sz w:val="22"/>
          <w:szCs w:val="22"/>
        </w:rPr>
        <w:t>4</w:t>
      </w:r>
      <w:r w:rsidR="00F2315F" w:rsidRPr="00C71137">
        <w:rPr>
          <w:rFonts w:asciiTheme="minorHAnsi" w:hAnsiTheme="minorHAnsi" w:cstheme="minorHAnsi"/>
          <w:b/>
          <w:sz w:val="22"/>
          <w:szCs w:val="22"/>
        </w:rPr>
        <w:t>)</w:t>
      </w:r>
    </w:p>
    <w:p w:rsidR="00F34435" w:rsidRDefault="004A6A80" w:rsidP="00DD4162">
      <w:pPr>
        <w:pStyle w:val="ListParagraph"/>
        <w:numPr>
          <w:ilvl w:val="1"/>
          <w:numId w:val="14"/>
        </w:numPr>
        <w:rPr>
          <w:rFonts w:asciiTheme="minorHAnsi" w:hAnsiTheme="minorHAnsi" w:cstheme="minorHAnsi"/>
          <w:sz w:val="22"/>
          <w:szCs w:val="22"/>
        </w:rPr>
      </w:pPr>
      <w:r w:rsidRPr="00B1718C">
        <w:rPr>
          <w:rFonts w:asciiTheme="minorHAnsi" w:hAnsiTheme="minorHAnsi" w:cstheme="minorHAnsi"/>
          <w:sz w:val="22"/>
          <w:szCs w:val="22"/>
        </w:rPr>
        <w:t xml:space="preserve">CSCC – </w:t>
      </w:r>
      <w:r w:rsidR="00B1718C" w:rsidRPr="00B1718C">
        <w:rPr>
          <w:rFonts w:asciiTheme="minorHAnsi" w:hAnsiTheme="minorHAnsi" w:cstheme="minorHAnsi"/>
          <w:b/>
          <w:sz w:val="22"/>
          <w:szCs w:val="22"/>
        </w:rPr>
        <w:t xml:space="preserve">(Attachment </w:t>
      </w:r>
      <w:r w:rsidR="00DD4162">
        <w:rPr>
          <w:rFonts w:asciiTheme="minorHAnsi" w:hAnsiTheme="minorHAnsi" w:cstheme="minorHAnsi"/>
          <w:b/>
          <w:sz w:val="22"/>
          <w:szCs w:val="22"/>
        </w:rPr>
        <w:t>5</w:t>
      </w:r>
      <w:r w:rsidR="00B1718C" w:rsidRPr="00B1718C">
        <w:rPr>
          <w:rFonts w:asciiTheme="minorHAnsi" w:hAnsiTheme="minorHAnsi" w:cstheme="minorHAnsi"/>
          <w:b/>
          <w:sz w:val="22"/>
          <w:szCs w:val="22"/>
        </w:rPr>
        <w:t>)</w:t>
      </w:r>
      <w:r w:rsidR="0028465C" w:rsidRPr="00B1718C">
        <w:rPr>
          <w:rFonts w:asciiTheme="minorHAnsi" w:hAnsiTheme="minorHAnsi" w:cstheme="minorHAnsi"/>
          <w:sz w:val="22"/>
          <w:szCs w:val="22"/>
        </w:rPr>
        <w:t xml:space="preserve"> </w:t>
      </w:r>
    </w:p>
    <w:p w:rsidR="00B1718C" w:rsidRPr="00B1718C" w:rsidRDefault="00B1718C" w:rsidP="00B1718C">
      <w:pPr>
        <w:rPr>
          <w:rFonts w:asciiTheme="minorHAnsi" w:hAnsiTheme="minorHAnsi" w:cstheme="minorHAnsi"/>
          <w:sz w:val="22"/>
          <w:szCs w:val="22"/>
        </w:rPr>
      </w:pPr>
    </w:p>
    <w:p w:rsidR="00B30B17" w:rsidRDefault="00B30B17" w:rsidP="00F34435">
      <w:pPr>
        <w:rPr>
          <w:rFonts w:asciiTheme="minorHAnsi" w:hAnsiTheme="minorHAnsi" w:cstheme="minorHAnsi"/>
          <w:b/>
          <w:sz w:val="22"/>
          <w:szCs w:val="22"/>
        </w:rPr>
      </w:pPr>
      <w:r>
        <w:rPr>
          <w:rFonts w:asciiTheme="minorHAnsi" w:hAnsiTheme="minorHAnsi" w:cstheme="minorHAnsi"/>
          <w:b/>
          <w:sz w:val="22"/>
          <w:szCs w:val="22"/>
        </w:rPr>
        <w:t>TRUSTEES REPORT</w:t>
      </w:r>
    </w:p>
    <w:p w:rsidR="00B30B17" w:rsidRDefault="00DD4162" w:rsidP="00B30B1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Due to time constraints, the Trustees Report was emailed to the senate members after the meeting</w:t>
      </w:r>
      <w:r w:rsidR="00786279">
        <w:rPr>
          <w:rFonts w:asciiTheme="minorHAnsi" w:hAnsiTheme="minorHAnsi" w:cstheme="minorHAnsi"/>
          <w:sz w:val="22"/>
          <w:szCs w:val="22"/>
        </w:rPr>
        <w:t xml:space="preserve">. </w:t>
      </w:r>
      <w:r w:rsidR="00786279" w:rsidRPr="00786279">
        <w:rPr>
          <w:rFonts w:asciiTheme="minorHAnsi" w:hAnsiTheme="minorHAnsi" w:cstheme="minorHAnsi"/>
          <w:b/>
          <w:sz w:val="22"/>
          <w:szCs w:val="22"/>
        </w:rPr>
        <w:t xml:space="preserve">(Attachment </w:t>
      </w:r>
      <w:r>
        <w:rPr>
          <w:rFonts w:asciiTheme="minorHAnsi" w:hAnsiTheme="minorHAnsi" w:cstheme="minorHAnsi"/>
          <w:b/>
          <w:sz w:val="22"/>
          <w:szCs w:val="22"/>
        </w:rPr>
        <w:t>6</w:t>
      </w:r>
      <w:r w:rsidR="00786279" w:rsidRPr="00786279">
        <w:rPr>
          <w:rFonts w:asciiTheme="minorHAnsi" w:hAnsiTheme="minorHAnsi" w:cstheme="minorHAnsi"/>
          <w:b/>
          <w:sz w:val="22"/>
          <w:szCs w:val="22"/>
        </w:rPr>
        <w:t>)</w:t>
      </w:r>
    </w:p>
    <w:p w:rsidR="00B30B17" w:rsidRDefault="00B30B17" w:rsidP="00F34435">
      <w:pPr>
        <w:rPr>
          <w:rFonts w:asciiTheme="minorHAnsi" w:hAnsiTheme="minorHAnsi" w:cstheme="minorHAnsi"/>
          <w:b/>
          <w:sz w:val="22"/>
          <w:szCs w:val="22"/>
        </w:rPr>
      </w:pPr>
    </w:p>
    <w:p w:rsidR="00B30B17" w:rsidRDefault="00B30B17" w:rsidP="00F34435">
      <w:pPr>
        <w:rPr>
          <w:rFonts w:asciiTheme="minorHAnsi" w:hAnsiTheme="minorHAnsi" w:cstheme="minorHAnsi"/>
          <w:b/>
          <w:sz w:val="22"/>
          <w:szCs w:val="22"/>
        </w:rPr>
      </w:pPr>
    </w:p>
    <w:p w:rsidR="00F34435" w:rsidRDefault="00F34435" w:rsidP="00F34435">
      <w:pPr>
        <w:rPr>
          <w:rFonts w:asciiTheme="minorHAnsi" w:hAnsiTheme="minorHAnsi" w:cstheme="minorHAnsi"/>
          <w:b/>
          <w:sz w:val="22"/>
          <w:szCs w:val="22"/>
        </w:rPr>
      </w:pPr>
      <w:r>
        <w:rPr>
          <w:rFonts w:asciiTheme="minorHAnsi" w:hAnsiTheme="minorHAnsi" w:cstheme="minorHAnsi"/>
          <w:b/>
          <w:sz w:val="22"/>
          <w:szCs w:val="22"/>
        </w:rPr>
        <w:t>AFT REPORT</w:t>
      </w:r>
    </w:p>
    <w:p w:rsidR="00DD4162" w:rsidRDefault="00DD4162" w:rsidP="00DD4162">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Due to time constraints, the AFT Report was emailed to the senate members after the meeting. </w:t>
      </w:r>
      <w:r w:rsidRPr="00786279">
        <w:rPr>
          <w:rFonts w:asciiTheme="minorHAnsi" w:hAnsiTheme="minorHAnsi" w:cstheme="minorHAnsi"/>
          <w:b/>
          <w:sz w:val="22"/>
          <w:szCs w:val="22"/>
        </w:rPr>
        <w:t xml:space="preserve">(Attachment </w:t>
      </w:r>
      <w:r>
        <w:rPr>
          <w:rFonts w:asciiTheme="minorHAnsi" w:hAnsiTheme="minorHAnsi" w:cstheme="minorHAnsi"/>
          <w:b/>
          <w:sz w:val="22"/>
          <w:szCs w:val="22"/>
        </w:rPr>
        <w:t>7</w:t>
      </w:r>
      <w:r w:rsidRPr="00786279">
        <w:rPr>
          <w:rFonts w:asciiTheme="minorHAnsi" w:hAnsiTheme="minorHAnsi" w:cstheme="minorHAnsi"/>
          <w:b/>
          <w:sz w:val="22"/>
          <w:szCs w:val="22"/>
        </w:rPr>
        <w:t>)</w:t>
      </w: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F308B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C71137">
        <w:rPr>
          <w:rFonts w:asciiTheme="minorHAnsi" w:hAnsiTheme="minorHAnsi" w:cstheme="minorHAnsi"/>
          <w:sz w:val="22"/>
          <w:szCs w:val="22"/>
        </w:rPr>
        <w:t>1:2</w:t>
      </w:r>
      <w:r w:rsidR="00DD4162">
        <w:rPr>
          <w:rFonts w:asciiTheme="minorHAnsi" w:hAnsiTheme="minorHAnsi" w:cstheme="minorHAnsi"/>
          <w:sz w:val="22"/>
          <w:szCs w:val="22"/>
        </w:rPr>
        <w:t>0</w:t>
      </w:r>
      <w:r w:rsidR="0014613D">
        <w:rPr>
          <w:rFonts w:asciiTheme="minorHAnsi" w:hAnsiTheme="minorHAnsi" w:cstheme="minorHAnsi"/>
          <w:sz w:val="22"/>
          <w:szCs w:val="22"/>
        </w:rPr>
        <w:t xml:space="preserve"> pm.</w:t>
      </w:r>
    </w:p>
    <w:p w:rsidR="004A6A80" w:rsidRPr="00B1718C" w:rsidRDefault="00C71137" w:rsidP="00786279">
      <w:pPr>
        <w:rPr>
          <w:rFonts w:ascii="Calibri" w:eastAsia="Calibri" w:hAnsi="Calibri"/>
          <w:b/>
        </w:rPr>
      </w:pPr>
      <w:r>
        <w:rPr>
          <w:rFonts w:asciiTheme="minorHAnsi" w:hAnsiTheme="minorHAnsi" w:cstheme="minorHAnsi"/>
          <w:sz w:val="22"/>
          <w:szCs w:val="22"/>
        </w:rPr>
        <w:br w:type="page"/>
      </w:r>
      <w:r w:rsidR="004A6A80" w:rsidRPr="00B1718C">
        <w:rPr>
          <w:rFonts w:ascii="Calibri" w:eastAsia="Calibri" w:hAnsi="Calibri"/>
          <w:b/>
        </w:rPr>
        <w:lastRenderedPageBreak/>
        <w:t xml:space="preserve"> </w:t>
      </w:r>
      <w:r w:rsidR="00B1718C" w:rsidRPr="00B1718C">
        <w:rPr>
          <w:rFonts w:ascii="Calibri" w:eastAsia="Calibri" w:hAnsi="Calibri"/>
          <w:b/>
        </w:rPr>
        <w:t>Attachment 1</w:t>
      </w:r>
    </w:p>
    <w:p w:rsidR="00B1718C" w:rsidRDefault="00B1718C" w:rsidP="00786279">
      <w:pPr>
        <w:rPr>
          <w:rFonts w:ascii="Calibri" w:eastAsia="Calibri" w:hAnsi="Calibri"/>
          <w:sz w:val="22"/>
          <w:szCs w:val="22"/>
        </w:rPr>
      </w:pPr>
    </w:p>
    <w:p w:rsidR="00DD4162" w:rsidRPr="00DD4162" w:rsidRDefault="00DD4162" w:rsidP="00DD4162">
      <w:pPr>
        <w:jc w:val="center"/>
        <w:rPr>
          <w:rFonts w:ascii="Arial" w:eastAsia="MS Mincho" w:hAnsi="Arial" w:cs="Arial"/>
          <w:b/>
          <w:lang w:eastAsia="ja-JP"/>
        </w:rPr>
      </w:pPr>
      <w:r w:rsidRPr="00DD4162">
        <w:rPr>
          <w:rFonts w:ascii="Arial" w:eastAsia="MS Mincho" w:hAnsi="Arial" w:cs="Arial"/>
          <w:b/>
          <w:lang w:eastAsia="ja-JP"/>
        </w:rPr>
        <w:t>MEMORANDUM</w:t>
      </w:r>
    </w:p>
    <w:p w:rsidR="00DD4162" w:rsidRPr="00DD4162" w:rsidRDefault="00DD4162" w:rsidP="00DD4162">
      <w:pPr>
        <w:jc w:val="center"/>
        <w:rPr>
          <w:rFonts w:ascii="Arial" w:eastAsia="MS Mincho" w:hAnsi="Arial" w:cs="Arial"/>
          <w:b/>
          <w:lang w:eastAsia="ja-JP"/>
        </w:rPr>
      </w:pPr>
    </w:p>
    <w:p w:rsidR="00DD4162" w:rsidRPr="00DD4162" w:rsidRDefault="00DD4162" w:rsidP="00DD4162">
      <w:pPr>
        <w:jc w:val="center"/>
        <w:rPr>
          <w:rFonts w:ascii="Arial" w:eastAsia="MS Mincho" w:hAnsi="Arial" w:cs="Arial"/>
          <w:b/>
          <w:lang w:eastAsia="ja-JP"/>
        </w:rPr>
      </w:pPr>
    </w:p>
    <w:p w:rsidR="00DD4162" w:rsidRPr="00DD4162" w:rsidRDefault="00DD4162" w:rsidP="00DD4162">
      <w:pPr>
        <w:tabs>
          <w:tab w:val="left" w:pos="1080"/>
          <w:tab w:val="left" w:pos="1440"/>
          <w:tab w:val="left" w:pos="1800"/>
        </w:tabs>
        <w:rPr>
          <w:rFonts w:ascii="Arial" w:eastAsia="MS Mincho" w:hAnsi="Arial" w:cs="Arial"/>
          <w:lang w:eastAsia="ja-JP"/>
        </w:rPr>
      </w:pPr>
      <w:r w:rsidRPr="00DD4162">
        <w:rPr>
          <w:rFonts w:ascii="Arial" w:eastAsia="MS Mincho" w:hAnsi="Arial" w:cs="Arial"/>
          <w:b/>
          <w:lang w:eastAsia="ja-JP"/>
        </w:rPr>
        <w:t>TO:</w:t>
      </w:r>
      <w:r w:rsidRPr="00DD4162">
        <w:rPr>
          <w:rFonts w:ascii="Arial" w:eastAsia="MS Mincho" w:hAnsi="Arial" w:cs="Arial"/>
          <w:b/>
          <w:lang w:eastAsia="ja-JP"/>
        </w:rPr>
        <w:tab/>
      </w:r>
      <w:r w:rsidRPr="00DD4162">
        <w:rPr>
          <w:rFonts w:ascii="Arial" w:eastAsia="MS Mincho" w:hAnsi="Arial" w:cs="Arial"/>
          <w:lang w:eastAsia="ja-JP"/>
        </w:rPr>
        <w:t>Senate Executive Board, Provost Taylor and Maura Moore</w:t>
      </w:r>
    </w:p>
    <w:p w:rsidR="00DD4162" w:rsidRPr="00DD4162" w:rsidRDefault="00DD4162" w:rsidP="00DD4162">
      <w:pPr>
        <w:tabs>
          <w:tab w:val="left" w:pos="1080"/>
          <w:tab w:val="left" w:pos="1440"/>
          <w:tab w:val="left" w:pos="1800"/>
        </w:tabs>
        <w:rPr>
          <w:rFonts w:ascii="Arial" w:eastAsia="MS Mincho" w:hAnsi="Arial" w:cs="Arial"/>
          <w:lang w:eastAsia="ja-JP"/>
        </w:rPr>
      </w:pPr>
    </w:p>
    <w:p w:rsidR="00DD4162" w:rsidRPr="00DD4162" w:rsidRDefault="00DD4162" w:rsidP="00DD4162">
      <w:pPr>
        <w:tabs>
          <w:tab w:val="left" w:pos="1080"/>
          <w:tab w:val="left" w:pos="1440"/>
          <w:tab w:val="left" w:pos="1800"/>
        </w:tabs>
        <w:rPr>
          <w:rFonts w:ascii="Arial" w:eastAsia="MS Mincho" w:hAnsi="Arial" w:cs="Arial"/>
          <w:lang w:eastAsia="ja-JP"/>
        </w:rPr>
      </w:pPr>
      <w:r w:rsidRPr="00DD4162">
        <w:rPr>
          <w:rFonts w:ascii="Arial" w:eastAsia="MS Mincho" w:hAnsi="Arial" w:cs="Arial"/>
          <w:b/>
          <w:lang w:eastAsia="ja-JP"/>
        </w:rPr>
        <w:t>FROM:</w:t>
      </w:r>
      <w:r w:rsidRPr="00DD4162">
        <w:rPr>
          <w:rFonts w:ascii="Arial" w:eastAsia="MS Mincho" w:hAnsi="Arial" w:cs="Arial"/>
          <w:b/>
          <w:lang w:eastAsia="ja-JP"/>
        </w:rPr>
        <w:tab/>
      </w:r>
      <w:r w:rsidRPr="00DD4162">
        <w:rPr>
          <w:rFonts w:ascii="Arial" w:eastAsia="MS Mincho" w:hAnsi="Arial" w:cs="Arial"/>
          <w:lang w:eastAsia="ja-JP"/>
        </w:rPr>
        <w:t>Teaching and Learning Program Council</w:t>
      </w:r>
      <w:r w:rsidRPr="00DD4162">
        <w:rPr>
          <w:rFonts w:ascii="Arial" w:eastAsia="MS Mincho" w:hAnsi="Arial" w:cs="Arial"/>
          <w:b/>
          <w:lang w:eastAsia="ja-JP"/>
        </w:rPr>
        <w:tab/>
      </w:r>
      <w:r w:rsidRPr="00DD4162">
        <w:rPr>
          <w:rFonts w:ascii="Arial" w:eastAsia="MS Mincho" w:hAnsi="Arial" w:cs="Arial"/>
          <w:b/>
          <w:lang w:eastAsia="ja-JP"/>
        </w:rPr>
        <w:tab/>
      </w:r>
    </w:p>
    <w:p w:rsidR="00DD4162" w:rsidRPr="00DD4162" w:rsidRDefault="00DD4162" w:rsidP="00DD4162">
      <w:pPr>
        <w:tabs>
          <w:tab w:val="left" w:pos="1080"/>
          <w:tab w:val="left" w:pos="1440"/>
          <w:tab w:val="left" w:pos="1800"/>
        </w:tabs>
        <w:rPr>
          <w:rFonts w:ascii="Arial" w:eastAsia="MS Mincho" w:hAnsi="Arial" w:cs="Arial"/>
          <w:lang w:eastAsia="ja-JP"/>
        </w:rPr>
      </w:pPr>
    </w:p>
    <w:p w:rsidR="00DD4162" w:rsidRPr="00DD4162" w:rsidRDefault="00DD4162" w:rsidP="00DD4162">
      <w:pPr>
        <w:tabs>
          <w:tab w:val="left" w:pos="1080"/>
          <w:tab w:val="left" w:pos="1440"/>
          <w:tab w:val="left" w:pos="1800"/>
        </w:tabs>
        <w:ind w:left="1800" w:hanging="1800"/>
        <w:rPr>
          <w:rFonts w:ascii="Arial" w:eastAsia="MS Mincho" w:hAnsi="Arial" w:cs="Arial"/>
          <w:lang w:eastAsia="ja-JP"/>
        </w:rPr>
      </w:pPr>
      <w:r w:rsidRPr="00DD4162">
        <w:rPr>
          <w:rFonts w:ascii="Arial" w:eastAsia="MS Mincho" w:hAnsi="Arial" w:cs="Arial"/>
          <w:b/>
          <w:lang w:eastAsia="ja-JP"/>
        </w:rPr>
        <w:t>RE:</w:t>
      </w:r>
      <w:r w:rsidRPr="00DD4162">
        <w:rPr>
          <w:rFonts w:ascii="Arial" w:eastAsia="MS Mincho" w:hAnsi="Arial" w:cs="Arial"/>
          <w:b/>
          <w:lang w:eastAsia="ja-JP"/>
        </w:rPr>
        <w:tab/>
      </w:r>
      <w:r w:rsidRPr="00DD4162">
        <w:rPr>
          <w:rFonts w:ascii="Arial" w:eastAsia="MS Mincho" w:hAnsi="Arial" w:cs="Arial"/>
          <w:lang w:eastAsia="ja-JP"/>
        </w:rPr>
        <w:t xml:space="preserve">Student Feedback on Teaching  </w:t>
      </w:r>
    </w:p>
    <w:p w:rsidR="00DD4162" w:rsidRPr="00DD4162" w:rsidRDefault="00DD4162" w:rsidP="00DD4162">
      <w:pPr>
        <w:tabs>
          <w:tab w:val="left" w:pos="1080"/>
          <w:tab w:val="left" w:pos="1440"/>
          <w:tab w:val="left" w:pos="1800"/>
        </w:tabs>
        <w:rPr>
          <w:rFonts w:ascii="Arial" w:eastAsia="MS Mincho" w:hAnsi="Arial" w:cs="Arial"/>
          <w:lang w:eastAsia="ja-JP"/>
        </w:rPr>
      </w:pPr>
    </w:p>
    <w:p w:rsidR="00DD4162" w:rsidRPr="00DD4162" w:rsidRDefault="00DD4162" w:rsidP="00DD4162">
      <w:pPr>
        <w:tabs>
          <w:tab w:val="left" w:pos="1080"/>
          <w:tab w:val="left" w:pos="1440"/>
          <w:tab w:val="left" w:pos="1800"/>
        </w:tabs>
        <w:rPr>
          <w:rFonts w:ascii="Arial" w:eastAsia="MS Mincho" w:hAnsi="Arial" w:cs="Arial"/>
          <w:lang w:eastAsia="ja-JP"/>
        </w:rPr>
      </w:pPr>
      <w:r w:rsidRPr="00DD4162">
        <w:rPr>
          <w:rFonts w:ascii="Arial" w:eastAsia="MS Mincho" w:hAnsi="Arial" w:cs="Arial"/>
          <w:b/>
          <w:lang w:eastAsia="ja-JP"/>
        </w:rPr>
        <w:t>DATE:</w:t>
      </w:r>
      <w:r w:rsidRPr="00DD4162">
        <w:rPr>
          <w:rFonts w:ascii="Arial" w:eastAsia="MS Mincho" w:hAnsi="Arial" w:cs="Arial"/>
          <w:b/>
          <w:lang w:eastAsia="ja-JP"/>
        </w:rPr>
        <w:tab/>
      </w:r>
      <w:r w:rsidRPr="00DD4162">
        <w:rPr>
          <w:rFonts w:ascii="Arial" w:eastAsia="MS Mincho" w:hAnsi="Arial" w:cs="Arial"/>
          <w:lang w:eastAsia="ja-JP"/>
        </w:rPr>
        <w:t>April 15, 2016</w:t>
      </w:r>
    </w:p>
    <w:p w:rsidR="00DD4162" w:rsidRPr="00DD4162" w:rsidRDefault="00DD4162" w:rsidP="00DD4162">
      <w:pPr>
        <w:tabs>
          <w:tab w:val="left" w:pos="1800"/>
        </w:tabs>
        <w:rPr>
          <w:rFonts w:ascii="Arial" w:eastAsia="MS Mincho" w:hAnsi="Arial" w:cs="Arial"/>
          <w:lang w:eastAsia="ja-JP"/>
        </w:rPr>
      </w:pPr>
    </w:p>
    <w:p w:rsidR="00DD4162" w:rsidRPr="00DD4162" w:rsidRDefault="00DD4162" w:rsidP="00DD4162">
      <w:pPr>
        <w:rPr>
          <w:rFonts w:ascii="Arial" w:eastAsia="MS Mincho" w:hAnsi="Arial" w:cs="Arial"/>
          <w:lang w:eastAsia="ja-JP"/>
        </w:rPr>
      </w:pPr>
    </w:p>
    <w:p w:rsidR="00DD4162" w:rsidRPr="00DD4162" w:rsidRDefault="00DD4162" w:rsidP="00DD4162">
      <w:pPr>
        <w:rPr>
          <w:rFonts w:ascii="Arial" w:eastAsia="MS Mincho" w:hAnsi="Arial" w:cs="Arial"/>
          <w:lang w:eastAsia="ja-JP"/>
        </w:rPr>
      </w:pPr>
      <w:r w:rsidRPr="00DD4162">
        <w:rPr>
          <w:rFonts w:ascii="Arial" w:eastAsia="MS Mincho" w:hAnsi="Arial" w:cs="Arial"/>
          <w:lang w:eastAsia="ja-JP"/>
        </w:rPr>
        <w:t>Thank you for consulting with the TLPC on the subject of the on-line Student Feedback on Teaching form.  After reviewing Maura Moore’s suggestions (thank you, Maura!), researching the issues, and discussing this topic at our April 6 meeting, we respectfully submit the following recommendations:</w:t>
      </w:r>
    </w:p>
    <w:p w:rsidR="00DD4162" w:rsidRPr="00DD4162" w:rsidRDefault="00DD4162" w:rsidP="00DD4162">
      <w:pPr>
        <w:rPr>
          <w:rFonts w:ascii="Arial" w:eastAsia="MS Mincho" w:hAnsi="Arial" w:cs="Arial"/>
          <w:lang w:eastAsia="ja-JP"/>
        </w:rPr>
      </w:pPr>
    </w:p>
    <w:p w:rsidR="00DD4162" w:rsidRPr="00DD4162" w:rsidRDefault="00DD4162" w:rsidP="00DD4162">
      <w:pPr>
        <w:rPr>
          <w:rFonts w:ascii="Arial" w:eastAsia="MS Mincho" w:hAnsi="Arial" w:cs="Arial"/>
          <w:b/>
          <w:lang w:eastAsia="ja-JP"/>
        </w:rPr>
      </w:pPr>
      <w:r w:rsidRPr="00DD4162">
        <w:rPr>
          <w:rFonts w:ascii="Arial" w:eastAsia="MS Mincho" w:hAnsi="Arial" w:cs="Arial"/>
          <w:b/>
          <w:lang w:eastAsia="ja-JP"/>
        </w:rPr>
        <w:t>Short-term Initiatives</w:t>
      </w:r>
    </w:p>
    <w:p w:rsidR="00DD4162" w:rsidRPr="00DD4162" w:rsidRDefault="00DD4162" w:rsidP="00DD4162">
      <w:pPr>
        <w:numPr>
          <w:ilvl w:val="0"/>
          <w:numId w:val="46"/>
        </w:numPr>
        <w:contextualSpacing/>
        <w:rPr>
          <w:rFonts w:ascii="Arial" w:eastAsia="MS Mincho" w:hAnsi="Arial" w:cs="Arial"/>
          <w:lang w:eastAsia="ja-JP"/>
        </w:rPr>
      </w:pPr>
      <w:r w:rsidRPr="00DD4162">
        <w:rPr>
          <w:rFonts w:ascii="Arial" w:eastAsia="MS Mincho" w:hAnsi="Arial" w:cs="Arial"/>
          <w:lang w:eastAsia="ja-JP"/>
        </w:rPr>
        <w:t>Share best practices with full time and adjunct faculty (perhaps in an email from the Provost) to enlist their help in improving response rates:</w:t>
      </w:r>
      <w:r w:rsidRPr="00DD4162">
        <w:rPr>
          <w:rFonts w:ascii="Arial" w:eastAsia="MS Mincho" w:hAnsi="Arial" w:cs="Arial"/>
          <w:lang w:eastAsia="ja-JP"/>
        </w:rPr>
        <w:br/>
      </w:r>
    </w:p>
    <w:p w:rsidR="00DD4162" w:rsidRPr="00DD4162" w:rsidRDefault="00DD4162" w:rsidP="00DD4162">
      <w:pPr>
        <w:numPr>
          <w:ilvl w:val="1"/>
          <w:numId w:val="46"/>
        </w:numPr>
        <w:contextualSpacing/>
        <w:rPr>
          <w:rFonts w:ascii="Arial" w:eastAsia="MS Mincho" w:hAnsi="Arial" w:cs="Arial"/>
          <w:lang w:eastAsia="ja-JP"/>
        </w:rPr>
      </w:pPr>
      <w:r w:rsidRPr="00DD4162">
        <w:rPr>
          <w:rFonts w:ascii="Arial" w:eastAsia="MS Mincho" w:hAnsi="Arial" w:cs="Arial"/>
          <w:lang w:eastAsia="ja-JP"/>
        </w:rPr>
        <w:t>We recommend that faculty engage in a dialogue with students on why the feedback forms are important. This could be an in-person class announcement, an email, or both. Helping students to realize that the feedback has value is an important factor.</w:t>
      </w:r>
      <w:r w:rsidRPr="00DD4162">
        <w:rPr>
          <w:rFonts w:ascii="Arial" w:eastAsia="MS Mincho" w:hAnsi="Arial" w:cs="Arial"/>
          <w:lang w:eastAsia="ja-JP"/>
        </w:rPr>
        <w:br/>
      </w:r>
    </w:p>
    <w:p w:rsidR="00DD4162" w:rsidRPr="00DD4162" w:rsidRDefault="00DD4162" w:rsidP="00DD4162">
      <w:pPr>
        <w:numPr>
          <w:ilvl w:val="1"/>
          <w:numId w:val="46"/>
        </w:numPr>
        <w:contextualSpacing/>
        <w:rPr>
          <w:rFonts w:ascii="Arial" w:eastAsia="MS Mincho" w:hAnsi="Arial" w:cs="Arial"/>
          <w:lang w:eastAsia="ja-JP"/>
        </w:rPr>
      </w:pPr>
      <w:r w:rsidRPr="00DD4162">
        <w:rPr>
          <w:rFonts w:ascii="Arial" w:eastAsia="MS Mincho" w:hAnsi="Arial" w:cs="Arial"/>
          <w:lang w:eastAsia="ja-JP"/>
        </w:rPr>
        <w:t>We recommend that class time be set aside for the completion of the forms, even though they are online. This could be accomplished by inviting students to bring their laptops to class on the specified date. Faculty utilizing this strategy should leave the room for 10-15 minutes to give students privacy. Anecdotally, students report that the main reason for failing to complete the forms is because they are being asked to give up their own time during a busy part of the semester.</w:t>
      </w:r>
      <w:r w:rsidRPr="00DD4162">
        <w:rPr>
          <w:rFonts w:ascii="Arial" w:eastAsia="MS Mincho" w:hAnsi="Arial" w:cs="Arial"/>
          <w:lang w:eastAsia="ja-JP"/>
        </w:rPr>
        <w:br/>
      </w:r>
    </w:p>
    <w:p w:rsidR="00DD4162" w:rsidRPr="00DD4162" w:rsidRDefault="00DD4162" w:rsidP="00DD4162">
      <w:pPr>
        <w:numPr>
          <w:ilvl w:val="0"/>
          <w:numId w:val="46"/>
        </w:numPr>
        <w:contextualSpacing/>
        <w:rPr>
          <w:rFonts w:ascii="Arial" w:eastAsia="MS Mincho" w:hAnsi="Arial" w:cs="Arial"/>
          <w:lang w:eastAsia="ja-JP"/>
        </w:rPr>
      </w:pPr>
      <w:r w:rsidRPr="00DD4162">
        <w:rPr>
          <w:rFonts w:ascii="Arial" w:eastAsia="MS Mincho" w:hAnsi="Arial" w:cs="Arial"/>
          <w:lang w:eastAsia="ja-JP"/>
        </w:rPr>
        <w:t xml:space="preserve">We recommend that TCNJ send emails and/or incorporate pop-up notices on Canvas, Paws and Lion’s Gate to alert students that the deadline for submission is approaching. Ads could also be placed in </w:t>
      </w:r>
      <w:r w:rsidRPr="00DD4162">
        <w:rPr>
          <w:rFonts w:ascii="Arial" w:eastAsia="MS Mincho" w:hAnsi="Arial" w:cs="Arial"/>
          <w:i/>
          <w:lang w:eastAsia="ja-JP"/>
        </w:rPr>
        <w:t>The Signal</w:t>
      </w:r>
      <w:r w:rsidRPr="00DD4162">
        <w:rPr>
          <w:rFonts w:ascii="Arial" w:eastAsia="MS Mincho" w:hAnsi="Arial" w:cs="Arial"/>
          <w:lang w:eastAsia="ja-JP"/>
        </w:rPr>
        <w:t>.</w:t>
      </w:r>
      <w:r w:rsidRPr="00DD4162">
        <w:rPr>
          <w:rFonts w:ascii="Arial" w:eastAsia="MS Mincho" w:hAnsi="Arial" w:cs="Arial"/>
          <w:lang w:eastAsia="ja-JP"/>
        </w:rPr>
        <w:br/>
      </w:r>
    </w:p>
    <w:p w:rsidR="00DD4162" w:rsidRPr="00DD4162" w:rsidRDefault="00DD4162" w:rsidP="00DD4162">
      <w:pPr>
        <w:numPr>
          <w:ilvl w:val="0"/>
          <w:numId w:val="46"/>
        </w:numPr>
        <w:contextualSpacing/>
        <w:rPr>
          <w:rFonts w:ascii="Arial" w:eastAsia="MS Mincho" w:hAnsi="Arial" w:cs="Arial"/>
          <w:lang w:eastAsia="ja-JP"/>
        </w:rPr>
      </w:pPr>
      <w:r w:rsidRPr="00DD4162">
        <w:rPr>
          <w:rFonts w:ascii="Arial" w:eastAsia="MS Mincho" w:hAnsi="Arial" w:cs="Arial"/>
          <w:lang w:eastAsia="ja-JP"/>
        </w:rPr>
        <w:t>We recommend that video screens in campus buildings include a reminder for students.</w:t>
      </w:r>
    </w:p>
    <w:p w:rsidR="00DD4162" w:rsidRPr="00DD4162" w:rsidRDefault="00DD4162" w:rsidP="00DD4162">
      <w:pPr>
        <w:rPr>
          <w:rFonts w:ascii="Arial" w:eastAsia="MS Mincho" w:hAnsi="Arial" w:cs="Arial"/>
          <w:lang w:eastAsia="ja-JP"/>
        </w:rPr>
      </w:pPr>
    </w:p>
    <w:p w:rsidR="00DD4162" w:rsidRPr="00DD4162" w:rsidRDefault="00DD4162" w:rsidP="00DD4162">
      <w:pPr>
        <w:numPr>
          <w:ilvl w:val="0"/>
          <w:numId w:val="46"/>
        </w:numPr>
        <w:contextualSpacing/>
        <w:rPr>
          <w:rFonts w:ascii="Arial" w:eastAsia="MS Mincho" w:hAnsi="Arial" w:cs="Arial"/>
          <w:lang w:eastAsia="ja-JP"/>
        </w:rPr>
      </w:pPr>
      <w:r w:rsidRPr="00DD4162">
        <w:rPr>
          <w:rFonts w:ascii="Arial" w:eastAsia="MS Mincho" w:hAnsi="Arial" w:cs="Arial"/>
          <w:lang w:eastAsia="ja-JP"/>
        </w:rPr>
        <w:t>Ask the registrar’s office to provide faculty with updates on completion rates in the days prior to the close of the collection period.</w:t>
      </w:r>
    </w:p>
    <w:p w:rsidR="00DD4162" w:rsidRPr="00DD4162" w:rsidRDefault="00DD4162" w:rsidP="00DD4162">
      <w:pPr>
        <w:rPr>
          <w:rFonts w:ascii="Arial" w:eastAsia="MS Mincho" w:hAnsi="Arial" w:cs="Arial"/>
          <w:lang w:eastAsia="ja-JP"/>
        </w:rPr>
      </w:pPr>
    </w:p>
    <w:p w:rsidR="00DD4162" w:rsidRPr="00DD4162" w:rsidRDefault="00DD4162" w:rsidP="00DD4162">
      <w:pPr>
        <w:rPr>
          <w:rFonts w:ascii="Arial" w:eastAsia="MS Mincho" w:hAnsi="Arial" w:cs="Arial"/>
          <w:lang w:eastAsia="ja-JP"/>
        </w:rPr>
      </w:pPr>
    </w:p>
    <w:p w:rsidR="00DD4162" w:rsidRPr="00DD4162" w:rsidRDefault="00DD4162" w:rsidP="00DD4162">
      <w:pPr>
        <w:rPr>
          <w:rFonts w:ascii="Arial" w:eastAsia="MS Mincho" w:hAnsi="Arial" w:cs="Arial"/>
          <w:b/>
          <w:lang w:eastAsia="ja-JP"/>
        </w:rPr>
      </w:pPr>
      <w:r w:rsidRPr="00DD4162">
        <w:rPr>
          <w:rFonts w:ascii="Arial" w:eastAsia="MS Mincho" w:hAnsi="Arial" w:cs="Arial"/>
          <w:b/>
          <w:lang w:eastAsia="ja-JP"/>
        </w:rPr>
        <w:t>Long-term Strategies</w:t>
      </w:r>
    </w:p>
    <w:p w:rsidR="00DD4162" w:rsidRPr="00DD4162" w:rsidRDefault="00DD4162" w:rsidP="00DD4162">
      <w:pPr>
        <w:rPr>
          <w:rFonts w:ascii="Arial" w:eastAsia="MS Mincho" w:hAnsi="Arial" w:cs="Arial"/>
          <w:lang w:eastAsia="ja-JP"/>
        </w:rPr>
      </w:pPr>
    </w:p>
    <w:p w:rsidR="00DD4162" w:rsidRPr="00DD4162" w:rsidRDefault="00DD4162" w:rsidP="00DD4162">
      <w:pPr>
        <w:numPr>
          <w:ilvl w:val="0"/>
          <w:numId w:val="47"/>
        </w:numPr>
        <w:contextualSpacing/>
        <w:rPr>
          <w:rFonts w:ascii="Arial" w:eastAsia="MS Mincho" w:hAnsi="Arial" w:cs="Arial"/>
          <w:lang w:eastAsia="ja-JP"/>
        </w:rPr>
      </w:pPr>
      <w:r w:rsidRPr="00DD4162">
        <w:rPr>
          <w:rFonts w:ascii="Arial" w:eastAsia="MS Mincho" w:hAnsi="Arial" w:cs="Arial"/>
          <w:lang w:eastAsia="ja-JP"/>
        </w:rPr>
        <w:t>Develop a best practices page for faculty that can be available through the web sites of The Office of Institutional Effectiveness, Records and Registration, and the Center for Excellence in Teaching and Learning.</w:t>
      </w:r>
      <w:r w:rsidRPr="00DD4162">
        <w:rPr>
          <w:rFonts w:ascii="Arial" w:eastAsia="MS Mincho" w:hAnsi="Arial" w:cs="Arial"/>
          <w:lang w:eastAsia="ja-JP"/>
        </w:rPr>
        <w:br/>
      </w:r>
    </w:p>
    <w:p w:rsidR="00DD4162" w:rsidRPr="00DD4162" w:rsidRDefault="00DD4162" w:rsidP="00DD4162">
      <w:pPr>
        <w:numPr>
          <w:ilvl w:val="0"/>
          <w:numId w:val="47"/>
        </w:numPr>
        <w:contextualSpacing/>
        <w:rPr>
          <w:rFonts w:ascii="Arial" w:eastAsia="MS Mincho" w:hAnsi="Arial" w:cs="Arial"/>
          <w:lang w:eastAsia="ja-JP"/>
        </w:rPr>
      </w:pPr>
      <w:r w:rsidRPr="00DD4162">
        <w:rPr>
          <w:rFonts w:ascii="Arial" w:eastAsia="MS Mincho" w:hAnsi="Arial" w:cs="Arial"/>
          <w:lang w:eastAsia="ja-JP"/>
        </w:rPr>
        <w:t>Simplify the process so students do not need to navigate from Main Menu to Student Self Service to Student Records to TCNJ Course Feedback. If students could click on a direct link, it would be more inviting.</w:t>
      </w:r>
      <w:r w:rsidRPr="00DD4162">
        <w:rPr>
          <w:rFonts w:ascii="Arial" w:eastAsia="MS Mincho" w:hAnsi="Arial" w:cs="Arial"/>
          <w:lang w:eastAsia="ja-JP"/>
        </w:rPr>
        <w:br/>
      </w:r>
    </w:p>
    <w:p w:rsidR="00DD4162" w:rsidRPr="00DD4162" w:rsidRDefault="00DD4162" w:rsidP="00DD4162">
      <w:pPr>
        <w:numPr>
          <w:ilvl w:val="0"/>
          <w:numId w:val="47"/>
        </w:numPr>
        <w:contextualSpacing/>
        <w:rPr>
          <w:rFonts w:ascii="Arial" w:eastAsia="MS Mincho" w:hAnsi="Arial" w:cs="Arial"/>
          <w:lang w:eastAsia="ja-JP"/>
        </w:rPr>
      </w:pPr>
      <w:r w:rsidRPr="00DD4162">
        <w:rPr>
          <w:rFonts w:ascii="Arial" w:eastAsia="MS Mincho" w:hAnsi="Arial" w:cs="Arial"/>
          <w:lang w:eastAsia="ja-JP"/>
        </w:rPr>
        <w:t>Build in headers to inform students which class they are evaluating as they move through the forms. Students indicated that once they begin an evaluation, it is hard to know which class they are reviewing. While we do not have confirmation of what students see (this is based on anecdotal feedback), faculty in our committee also referenced receiving results in the open- ended sections that suggested students were reviewing someone else. If there are no headers, or if the headers are small, perhaps we can explore ways to improve visibility.</w:t>
      </w:r>
      <w:r w:rsidRPr="00DD4162">
        <w:rPr>
          <w:rFonts w:ascii="Arial" w:eastAsia="MS Mincho" w:hAnsi="Arial" w:cs="Arial"/>
          <w:lang w:eastAsia="ja-JP"/>
        </w:rPr>
        <w:br/>
      </w:r>
    </w:p>
    <w:p w:rsidR="00DD4162" w:rsidRPr="00DD4162" w:rsidRDefault="00DD4162" w:rsidP="00DD4162">
      <w:pPr>
        <w:numPr>
          <w:ilvl w:val="0"/>
          <w:numId w:val="47"/>
        </w:numPr>
        <w:contextualSpacing/>
        <w:rPr>
          <w:rFonts w:ascii="Arial" w:eastAsia="MS Mincho" w:hAnsi="Arial" w:cs="Arial"/>
          <w:lang w:eastAsia="ja-JP"/>
        </w:rPr>
      </w:pPr>
      <w:r w:rsidRPr="00DD4162">
        <w:rPr>
          <w:rFonts w:ascii="Arial" w:eastAsia="MS Mincho" w:hAnsi="Arial" w:cs="Arial"/>
          <w:lang w:eastAsia="ja-JP"/>
        </w:rPr>
        <w:t>Consider revising the questions on the feedback form. Now that we have the forms online, we have options that were not previously available (customized questions for particular delivery modes, customized questions from the individual faculty members, etc.) We encourage the Senate Executive Board to explore these possibilities.</w:t>
      </w:r>
      <w:r w:rsidRPr="00DD4162">
        <w:rPr>
          <w:rFonts w:ascii="Arial" w:eastAsia="MS Mincho" w:hAnsi="Arial" w:cs="Arial"/>
          <w:lang w:eastAsia="ja-JP"/>
        </w:rPr>
        <w:br/>
      </w:r>
    </w:p>
    <w:p w:rsidR="00DD4162" w:rsidRPr="00DD4162" w:rsidRDefault="00DD4162" w:rsidP="00DD4162">
      <w:pPr>
        <w:numPr>
          <w:ilvl w:val="0"/>
          <w:numId w:val="47"/>
        </w:numPr>
        <w:contextualSpacing/>
        <w:rPr>
          <w:rFonts w:ascii="Arial" w:eastAsia="MS Mincho" w:hAnsi="Arial" w:cs="Arial"/>
          <w:lang w:eastAsia="ja-JP"/>
        </w:rPr>
      </w:pPr>
      <w:r w:rsidRPr="00DD4162">
        <w:rPr>
          <w:rFonts w:ascii="Arial" w:eastAsia="MS Mincho" w:hAnsi="Arial" w:cs="Arial"/>
          <w:lang w:eastAsia="ja-JP"/>
        </w:rPr>
        <w:t>Work with the Center for Excellence In Teaching and Learning to support a faculty Learning Community that could explore best practices in assessing teaching. We realize this expands beyond the original question about strategies to improve response rates, but it is an important related issue that would benefit our faculty.</w:t>
      </w:r>
    </w:p>
    <w:p w:rsidR="00B1718C" w:rsidRDefault="00B1718C">
      <w:pPr>
        <w:rPr>
          <w:rFonts w:ascii="Calibri" w:eastAsia="Calibri" w:hAnsi="Calibri"/>
          <w:sz w:val="22"/>
          <w:szCs w:val="22"/>
        </w:rPr>
      </w:pPr>
      <w:r>
        <w:rPr>
          <w:rFonts w:ascii="Calibri" w:eastAsia="Calibri" w:hAnsi="Calibri"/>
          <w:sz w:val="22"/>
          <w:szCs w:val="22"/>
        </w:rPr>
        <w:br w:type="page"/>
      </w:r>
    </w:p>
    <w:p w:rsidR="00B1718C" w:rsidRDefault="00B1718C" w:rsidP="00B1718C">
      <w:pPr>
        <w:rPr>
          <w:rFonts w:ascii="Cambria" w:eastAsia="MS Mincho" w:hAnsi="Cambria"/>
          <w:b/>
        </w:rPr>
      </w:pPr>
      <w:r>
        <w:rPr>
          <w:rFonts w:ascii="Cambria" w:eastAsia="MS Mincho" w:hAnsi="Cambria"/>
          <w:b/>
        </w:rPr>
        <w:lastRenderedPageBreak/>
        <w:t>Attachment 2</w:t>
      </w:r>
    </w:p>
    <w:p w:rsidR="00B1718C" w:rsidRDefault="00B1718C" w:rsidP="00B1718C">
      <w:pPr>
        <w:jc w:val="center"/>
        <w:rPr>
          <w:rFonts w:ascii="Cambria" w:eastAsia="MS Mincho" w:hAnsi="Cambria"/>
          <w:b/>
        </w:rPr>
      </w:pPr>
    </w:p>
    <w:p w:rsidR="00DD4162" w:rsidRPr="00DD4162" w:rsidRDefault="00DD4162" w:rsidP="00DD4162">
      <w:pPr>
        <w:jc w:val="center"/>
        <w:rPr>
          <w:b/>
        </w:rPr>
      </w:pPr>
      <w:r>
        <w:rPr>
          <w:b/>
        </w:rPr>
        <w:t>CAP Report</w:t>
      </w:r>
    </w:p>
    <w:p w:rsidR="00DD4162" w:rsidRPr="00DD4162" w:rsidRDefault="00DD4162" w:rsidP="00DD4162"/>
    <w:p w:rsidR="00DD4162" w:rsidRPr="00DD4162" w:rsidRDefault="00DD4162" w:rsidP="00DD4162">
      <w:pPr>
        <w:spacing w:after="240"/>
        <w:rPr>
          <w:rFonts w:ascii="Helvetica" w:hAnsi="Helvetica" w:cs="Helvetica"/>
          <w:color w:val="000000"/>
          <w:sz w:val="18"/>
          <w:szCs w:val="18"/>
        </w:rPr>
      </w:pPr>
      <w:r w:rsidRPr="00DD4162">
        <w:rPr>
          <w:rFonts w:ascii="Helvetica" w:hAnsi="Helvetica" w:cs="Helvetica"/>
          <w:color w:val="000000"/>
          <w:sz w:val="18"/>
          <w:szCs w:val="18"/>
        </w:rPr>
        <w:t xml:space="preserve">The Committee on Academic Programs (CAP) approved the preliminary recommendations on  1) Proposed changes to the college's Program Approval Policy, 2) Proposed changes to the approval process for Graduate Certificate Programs, 3) Proposed changes to the college's Undergraduate Internships Policy, and 4) Proposed changes to the college's Change of Major Policy. CAP is holding a series of open </w:t>
      </w:r>
      <w:proofErr w:type="spellStart"/>
      <w:r w:rsidRPr="00DD4162">
        <w:rPr>
          <w:rFonts w:ascii="Helvetica" w:hAnsi="Helvetica" w:cs="Helvetica"/>
          <w:color w:val="000000"/>
          <w:sz w:val="18"/>
          <w:szCs w:val="18"/>
        </w:rPr>
        <w:t>fora</w:t>
      </w:r>
      <w:proofErr w:type="spellEnd"/>
      <w:r w:rsidRPr="00DD4162">
        <w:rPr>
          <w:rFonts w:ascii="Helvetica" w:hAnsi="Helvetica" w:cs="Helvetica"/>
          <w:color w:val="000000"/>
          <w:sz w:val="18"/>
          <w:szCs w:val="18"/>
        </w:rPr>
        <w:t xml:space="preserve"> to gather testimony on these policies on Tuesday, April 26.</w:t>
      </w:r>
    </w:p>
    <w:p w:rsidR="00DD4162" w:rsidRDefault="00DD4162" w:rsidP="00DD4162">
      <w:pPr>
        <w:jc w:val="center"/>
        <w:rPr>
          <w:rFonts w:ascii="Cambria" w:eastAsia="MS Mincho" w:hAnsi="Cambria"/>
        </w:rPr>
      </w:pPr>
    </w:p>
    <w:p w:rsidR="00DD4162" w:rsidRDefault="00DD4162">
      <w:pPr>
        <w:rPr>
          <w:rFonts w:ascii="Cambria" w:eastAsia="MS Mincho" w:hAnsi="Cambria"/>
        </w:rPr>
      </w:pPr>
      <w:r>
        <w:rPr>
          <w:rFonts w:ascii="Cambria" w:eastAsia="MS Mincho" w:hAnsi="Cambria"/>
        </w:rPr>
        <w:br w:type="page"/>
      </w:r>
    </w:p>
    <w:p w:rsidR="009C4CDC" w:rsidRPr="009C4CDC" w:rsidRDefault="009C4CDC" w:rsidP="009C4CDC">
      <w:pPr>
        <w:rPr>
          <w:rFonts w:ascii="Cambria" w:eastAsia="MS Mincho" w:hAnsi="Cambria"/>
          <w:b/>
        </w:rPr>
      </w:pPr>
      <w:r w:rsidRPr="009C4CDC">
        <w:rPr>
          <w:rFonts w:ascii="Cambria" w:eastAsia="MS Mincho" w:hAnsi="Cambria"/>
          <w:b/>
        </w:rPr>
        <w:lastRenderedPageBreak/>
        <w:t>Attachment 3</w:t>
      </w:r>
    </w:p>
    <w:p w:rsidR="00B1718C" w:rsidRPr="00B1718C" w:rsidRDefault="00B1718C" w:rsidP="00DD4162">
      <w:pPr>
        <w:jc w:val="center"/>
      </w:pPr>
      <w:r w:rsidRPr="00B1718C">
        <w:rPr>
          <w:rFonts w:ascii="Cambria" w:eastAsia="MS Mincho" w:hAnsi="Cambria"/>
        </w:rPr>
        <w:t xml:space="preserve"> </w:t>
      </w:r>
    </w:p>
    <w:p w:rsidR="009C4CDC" w:rsidRPr="009C4CDC" w:rsidRDefault="009C4CDC" w:rsidP="009C4CDC">
      <w:pPr>
        <w:jc w:val="center"/>
        <w:rPr>
          <w:rFonts w:ascii="Cambria" w:eastAsia="MS Mincho" w:hAnsi="Cambria"/>
          <w:b/>
        </w:rPr>
      </w:pPr>
      <w:r w:rsidRPr="009C4CDC">
        <w:rPr>
          <w:rFonts w:ascii="Cambria" w:eastAsia="MS Mincho" w:hAnsi="Cambria"/>
          <w:b/>
        </w:rPr>
        <w:t>CFA Report to the Faculty Senate, February 17, 2016</w:t>
      </w:r>
    </w:p>
    <w:p w:rsidR="009C4CDC" w:rsidRPr="009C4CDC" w:rsidRDefault="009C4CDC" w:rsidP="009C4CDC">
      <w:pPr>
        <w:jc w:val="center"/>
        <w:rPr>
          <w:rFonts w:ascii="Cambria" w:eastAsia="MS Mincho" w:hAnsi="Cambria"/>
          <w:b/>
        </w:rPr>
      </w:pPr>
    </w:p>
    <w:p w:rsidR="009C4CDC" w:rsidRPr="009C4CDC" w:rsidRDefault="009C4CDC" w:rsidP="009C4CDC">
      <w:pPr>
        <w:rPr>
          <w:rFonts w:ascii="Cambria" w:eastAsia="MS Mincho" w:hAnsi="Cambria"/>
        </w:rPr>
      </w:pPr>
      <w:r w:rsidRPr="009C4CDC">
        <w:rPr>
          <w:rFonts w:ascii="Cambria" w:eastAsia="MS Mincho" w:hAnsi="Cambria"/>
        </w:rPr>
        <w:t>Since the last report to the Faculty Senate, the Committee on Faculty Affairs met on January 27 and February 10.  The following are updates on current matters:</w:t>
      </w:r>
    </w:p>
    <w:p w:rsidR="009C4CDC" w:rsidRPr="009C4CDC" w:rsidRDefault="009C4CDC" w:rsidP="009C4CDC">
      <w:pPr>
        <w:rPr>
          <w:rFonts w:ascii="Cambria" w:eastAsia="MS Mincho" w:hAnsi="Cambria"/>
        </w:rPr>
      </w:pPr>
    </w:p>
    <w:p w:rsidR="009C4CDC" w:rsidRPr="009C4CDC" w:rsidRDefault="009C4CDC" w:rsidP="009C4CDC">
      <w:pPr>
        <w:numPr>
          <w:ilvl w:val="0"/>
          <w:numId w:val="42"/>
        </w:numPr>
        <w:rPr>
          <w:rFonts w:ascii="Cambria" w:eastAsia="MS Mincho" w:hAnsi="Cambria"/>
        </w:rPr>
      </w:pPr>
      <w:r w:rsidRPr="009C4CDC">
        <w:rPr>
          <w:rFonts w:ascii="Cambria" w:eastAsia="MS Mincho" w:hAnsi="Cambria"/>
        </w:rPr>
        <w:t xml:space="preserve">Chair Paul </w:t>
      </w:r>
      <w:proofErr w:type="spellStart"/>
      <w:r w:rsidRPr="009C4CDC">
        <w:rPr>
          <w:rFonts w:ascii="Cambria" w:eastAsia="MS Mincho" w:hAnsi="Cambria"/>
        </w:rPr>
        <w:t>Wiita</w:t>
      </w:r>
      <w:proofErr w:type="spellEnd"/>
      <w:r w:rsidRPr="009C4CDC">
        <w:rPr>
          <w:rFonts w:ascii="Cambria" w:eastAsia="MS Mincho" w:hAnsi="Cambria"/>
        </w:rPr>
        <w:t xml:space="preserve"> announced his resignation from CFA due to medical reasons.  Vice-Chair will chair the meeting for the remainder of the year.  CFA is will soon receive two replacements, one to fill the resignation and the other to cover a temporary leave of absence.  Election of a vice-chair will take place at the next CFA meeting.</w:t>
      </w:r>
    </w:p>
    <w:p w:rsidR="009C4CDC" w:rsidRPr="009C4CDC" w:rsidRDefault="009C4CDC" w:rsidP="009C4CDC">
      <w:pPr>
        <w:ind w:left="720"/>
        <w:rPr>
          <w:rFonts w:ascii="Cambria" w:eastAsia="MS Mincho" w:hAnsi="Cambria"/>
        </w:rPr>
      </w:pPr>
    </w:p>
    <w:p w:rsidR="009C4CDC" w:rsidRPr="009C4CDC" w:rsidRDefault="009C4CDC" w:rsidP="009C4CDC">
      <w:pPr>
        <w:numPr>
          <w:ilvl w:val="0"/>
          <w:numId w:val="42"/>
        </w:numPr>
        <w:contextualSpacing/>
        <w:rPr>
          <w:rFonts w:ascii="Cambria" w:eastAsia="MS Mincho" w:hAnsi="Cambria"/>
        </w:rPr>
      </w:pPr>
      <w:r w:rsidRPr="009C4CDC">
        <w:rPr>
          <w:rFonts w:ascii="Cambria" w:eastAsia="MS Mincho" w:hAnsi="Cambria"/>
        </w:rPr>
        <w:t xml:space="preserve">The Disciplinary Standards of the Marketing and the Biology departments were recently approved; Art Education is still under review.  The DS of 16 other departments and programs still (out of a total of 40) need to be revised to be consistent with the PRD approved in the fall of 2015.  </w:t>
      </w:r>
    </w:p>
    <w:p w:rsidR="009C4CDC" w:rsidRPr="009C4CDC" w:rsidRDefault="009C4CDC" w:rsidP="009C4CDC">
      <w:pPr>
        <w:ind w:left="720"/>
        <w:contextualSpacing/>
        <w:rPr>
          <w:rFonts w:ascii="Cambria" w:eastAsia="MS Mincho" w:hAnsi="Cambria"/>
        </w:rPr>
      </w:pPr>
    </w:p>
    <w:p w:rsidR="009C4CDC" w:rsidRPr="009C4CDC" w:rsidRDefault="009C4CDC" w:rsidP="009C4CDC">
      <w:pPr>
        <w:numPr>
          <w:ilvl w:val="0"/>
          <w:numId w:val="42"/>
        </w:numPr>
        <w:rPr>
          <w:rFonts w:ascii="Cambria" w:eastAsia="MS Mincho" w:hAnsi="Cambria"/>
        </w:rPr>
      </w:pPr>
      <w:r w:rsidRPr="009C4CDC">
        <w:rPr>
          <w:rFonts w:ascii="Cambria" w:eastAsia="MS Mincho" w:hAnsi="Cambria"/>
        </w:rPr>
        <w:t xml:space="preserve">CFA undertook a major restructuring to the 2015 Promotion and Reappointment Document (PRD).  The October 2015 PRD is a complex document that incorporates three major changes to the tenure and promotions process: a five-year probationary period for tenure (instead of four years), an alternative calendar for faculty with Qualifying Life Events, and the joining of tenure and promotion to Associate Professor/Librarian II for new Assistant Professor/Librarian I hires. </w:t>
      </w:r>
    </w:p>
    <w:p w:rsidR="009C4CDC" w:rsidRPr="009C4CDC" w:rsidRDefault="009C4CDC" w:rsidP="009C4CDC">
      <w:pPr>
        <w:ind w:left="720"/>
        <w:contextualSpacing/>
        <w:rPr>
          <w:rFonts w:ascii="Cambria" w:eastAsia="MS Mincho" w:hAnsi="Cambria"/>
        </w:rPr>
      </w:pPr>
    </w:p>
    <w:p w:rsidR="009C4CDC" w:rsidRPr="009C4CDC" w:rsidRDefault="009C4CDC" w:rsidP="009C4CDC">
      <w:pPr>
        <w:ind w:left="720"/>
        <w:rPr>
          <w:rFonts w:ascii="Cambria" w:eastAsia="MS Mincho" w:hAnsi="Cambria"/>
        </w:rPr>
      </w:pPr>
      <w:r w:rsidRPr="009C4CDC">
        <w:rPr>
          <w:rFonts w:ascii="Cambria" w:eastAsia="MS Mincho" w:hAnsi="Cambria"/>
        </w:rPr>
        <w:t>The restructuring of the PRD attempts to streamline the document by reducing repetitive information, eliminating inconsistencies, rearranging some sections and appendices, and presenting steps and dates in a clearer format.  It now has five sections (rather than four) and the document is roughly one third shorter.  The restructured PRD will be presented for discussion at the upcoming Open Forum scheduled for March.</w:t>
      </w:r>
    </w:p>
    <w:p w:rsidR="009C4CDC" w:rsidRPr="009C4CDC" w:rsidRDefault="009C4CDC" w:rsidP="009C4CDC">
      <w:pPr>
        <w:ind w:left="720"/>
        <w:contextualSpacing/>
        <w:rPr>
          <w:rFonts w:ascii="Cambria" w:eastAsia="MS Mincho" w:hAnsi="Cambria"/>
        </w:rPr>
      </w:pPr>
    </w:p>
    <w:p w:rsidR="009C4CDC" w:rsidRPr="009C4CDC" w:rsidRDefault="009C4CDC" w:rsidP="009C4CDC">
      <w:pPr>
        <w:numPr>
          <w:ilvl w:val="0"/>
          <w:numId w:val="42"/>
        </w:numPr>
      </w:pPr>
      <w:r w:rsidRPr="009C4CDC">
        <w:rPr>
          <w:rFonts w:ascii="Cambria" w:eastAsia="MS Mincho" w:hAnsi="Cambria"/>
        </w:rPr>
        <w:t>CFA is continuing to review the criteria and bases of evaluation of teaching/librarianship and service.  Such proposals will be presented at the upcoming forum in March for consideration and discussion.</w:t>
      </w:r>
    </w:p>
    <w:p w:rsidR="009C4CDC" w:rsidRPr="009C4CDC" w:rsidRDefault="009C4CDC" w:rsidP="009C4CDC">
      <w:pPr>
        <w:ind w:left="720"/>
      </w:pPr>
    </w:p>
    <w:p w:rsidR="009C4CDC" w:rsidRPr="009C4CDC" w:rsidRDefault="009C4CDC" w:rsidP="009C4CDC">
      <w:pPr>
        <w:numPr>
          <w:ilvl w:val="0"/>
          <w:numId w:val="42"/>
        </w:numPr>
      </w:pPr>
      <w:r w:rsidRPr="009C4CDC">
        <w:rPr>
          <w:rFonts w:ascii="Cambria" w:eastAsia="MS Mincho" w:hAnsi="Cambria"/>
        </w:rPr>
        <w:t xml:space="preserve">A final recommendation regarding the SOSA RFP to allow for more flexibility, so that faculty might request funds to facilitate research in lieu of one or both course releases, was approved by CFA and sent to Steering.  CFA conducted two faculty </w:t>
      </w:r>
      <w:proofErr w:type="spellStart"/>
      <w:r w:rsidRPr="009C4CDC">
        <w:rPr>
          <w:rFonts w:ascii="Cambria" w:eastAsia="MS Mincho" w:hAnsi="Cambria"/>
        </w:rPr>
        <w:t>fora</w:t>
      </w:r>
      <w:proofErr w:type="spellEnd"/>
      <w:r w:rsidRPr="009C4CDC">
        <w:rPr>
          <w:rFonts w:ascii="Cambria" w:eastAsia="MS Mincho" w:hAnsi="Cambria"/>
        </w:rPr>
        <w:t xml:space="preserve"> and two </w:t>
      </w:r>
      <w:proofErr w:type="spellStart"/>
      <w:r w:rsidRPr="009C4CDC">
        <w:rPr>
          <w:rFonts w:ascii="Cambria" w:eastAsia="MS Mincho" w:hAnsi="Cambria"/>
        </w:rPr>
        <w:t>Qualtrics</w:t>
      </w:r>
      <w:proofErr w:type="spellEnd"/>
      <w:r w:rsidRPr="009C4CDC">
        <w:rPr>
          <w:rFonts w:ascii="Cambria" w:eastAsia="MS Mincho" w:hAnsi="Cambria"/>
        </w:rPr>
        <w:t xml:space="preserve"> surveys of the faculty; in addition, SOSA committee members were heard and much feedback from faculty was received and discussed at a number of CFA meetings throughout Spring and Fall 2015.  CFA’s recommendation allows faculty to choose between reassigned time for two semesters in consecutive years, reassigned time for one semester in one year and one monetary grant for research in one year, or for two research grants in consecutive years.  Grant funds, equivalent to 3 FWH at the Assistant Professor level, can only be used to cover research related expenses.  CFA recommends that this policy be revised in a few years due to concerns among a meaningful number of faculty that the new policy may unduly favor some departments at the expense of others. </w:t>
      </w:r>
    </w:p>
    <w:p w:rsidR="00DD4162" w:rsidRDefault="00DD4162" w:rsidP="009C4CDC">
      <w:pPr>
        <w:jc w:val="center"/>
        <w:rPr>
          <w:rFonts w:ascii="Calibri" w:eastAsia="Calibri" w:hAnsi="Calibri"/>
          <w:b/>
        </w:rPr>
      </w:pPr>
      <w:r>
        <w:rPr>
          <w:rFonts w:ascii="Calibri" w:eastAsia="Calibri" w:hAnsi="Calibri"/>
          <w:b/>
        </w:rPr>
        <w:br w:type="page"/>
      </w:r>
      <w:r w:rsidR="009C4CDC">
        <w:rPr>
          <w:rFonts w:ascii="Calibri" w:eastAsia="Calibri" w:hAnsi="Calibri"/>
          <w:b/>
        </w:rPr>
        <w:lastRenderedPageBreak/>
        <w:t xml:space="preserve"> </w:t>
      </w:r>
    </w:p>
    <w:p w:rsidR="00B1718C" w:rsidRPr="00B1718C" w:rsidRDefault="009C4CDC" w:rsidP="00786279">
      <w:pPr>
        <w:rPr>
          <w:rFonts w:ascii="Calibri" w:eastAsia="Calibri" w:hAnsi="Calibri"/>
          <w:b/>
        </w:rPr>
      </w:pPr>
      <w:r>
        <w:rPr>
          <w:rFonts w:ascii="Calibri" w:eastAsia="Calibri" w:hAnsi="Calibri"/>
          <w:b/>
        </w:rPr>
        <w:t>Attachment 4</w:t>
      </w:r>
    </w:p>
    <w:p w:rsidR="00B1718C" w:rsidRDefault="00B1718C" w:rsidP="00786279">
      <w:pPr>
        <w:rPr>
          <w:rFonts w:ascii="Calibri" w:eastAsia="Calibri" w:hAnsi="Calibri"/>
          <w:sz w:val="22"/>
          <w:szCs w:val="22"/>
        </w:rPr>
      </w:pPr>
    </w:p>
    <w:p w:rsidR="00B1718C" w:rsidRPr="004A6A80" w:rsidRDefault="00B1718C" w:rsidP="00786279">
      <w:pPr>
        <w:rPr>
          <w:rFonts w:ascii="Calibri" w:eastAsia="Calibri" w:hAnsi="Calibri"/>
          <w:sz w:val="22"/>
          <w:szCs w:val="22"/>
        </w:rPr>
      </w:pPr>
    </w:p>
    <w:p w:rsidR="00B1718C" w:rsidRPr="00B1718C" w:rsidRDefault="00B1718C" w:rsidP="00B1718C">
      <w:pPr>
        <w:rPr>
          <w:rFonts w:eastAsia="MS Mincho"/>
        </w:rPr>
      </w:pPr>
      <w:r>
        <w:rPr>
          <w:rFonts w:eastAsia="MS Mincho"/>
        </w:rPr>
        <w:t xml:space="preserve">CSPP </w:t>
      </w:r>
      <w:r w:rsidRPr="00B1718C">
        <w:rPr>
          <w:rFonts w:eastAsia="MS Mincho"/>
        </w:rPr>
        <w:t>Report for the Faculty Senate</w:t>
      </w:r>
    </w:p>
    <w:p w:rsidR="00B1718C" w:rsidRPr="00B1718C" w:rsidRDefault="00B1718C" w:rsidP="00B1718C">
      <w:pPr>
        <w:rPr>
          <w:rFonts w:eastAsia="MS Mincho"/>
        </w:rPr>
      </w:pPr>
    </w:p>
    <w:p w:rsidR="00AB340D" w:rsidRPr="00AB340D" w:rsidRDefault="00AB340D" w:rsidP="00AB340D">
      <w:pPr>
        <w:rPr>
          <w:rFonts w:eastAsia="MS Mincho"/>
        </w:rPr>
      </w:pPr>
      <w:r w:rsidRPr="00AB340D">
        <w:rPr>
          <w:rFonts w:eastAsia="MS Mincho"/>
        </w:rPr>
        <w:t xml:space="preserve">The Committee on Strategic Planning and Priorities has met several times since the last Faculty Senate meeting. The Committee began the semester by considering different implementation and reporting plans for the next five years of the Strategic Plan. Since then, the Committee has consulted with several dozen stakeholders about how to clarify and meet the Strategic Plan’s goals for diversity.  It has also met with Matt Bender, the chair of the subcommittee reviewing the College’s governance system, to explore new, more efficient models for having cabinet members report to campus stakeholders.  (We are looking closely at the role of the various Planning Committees.)  Finally, CSPP met with Frank Cooper, Executive Director of Records &amp; Registration, and Will </w:t>
      </w:r>
      <w:proofErr w:type="spellStart"/>
      <w:r w:rsidRPr="00AB340D">
        <w:rPr>
          <w:rFonts w:eastAsia="MS Mincho"/>
        </w:rPr>
        <w:t>Casaine</w:t>
      </w:r>
      <w:proofErr w:type="spellEnd"/>
      <w:r w:rsidRPr="00AB340D">
        <w:rPr>
          <w:rFonts w:eastAsia="MS Mincho"/>
        </w:rPr>
        <w:t>, the Director of Financial Aid, about new pricing models for overloaded courses that would bring TCNJ in line with other state colleges and universities.</w:t>
      </w:r>
    </w:p>
    <w:p w:rsidR="00AB340D" w:rsidRPr="00AB340D" w:rsidRDefault="00AB340D" w:rsidP="00AB340D">
      <w:pPr>
        <w:rPr>
          <w:rFonts w:eastAsia="MS Mincho"/>
        </w:rPr>
      </w:pPr>
    </w:p>
    <w:p w:rsidR="00AB340D" w:rsidRPr="00AB340D" w:rsidRDefault="00AB340D" w:rsidP="00AB340D">
      <w:pPr>
        <w:rPr>
          <w:rFonts w:eastAsia="MS Mincho"/>
        </w:rPr>
      </w:pPr>
      <w:r w:rsidRPr="00AB340D">
        <w:rPr>
          <w:rFonts w:eastAsia="MS Mincho"/>
        </w:rPr>
        <w:t>David Blake</w:t>
      </w:r>
    </w:p>
    <w:p w:rsidR="00AB340D" w:rsidRPr="00AB340D" w:rsidRDefault="00AB340D" w:rsidP="00AB340D">
      <w:pPr>
        <w:rPr>
          <w:rFonts w:eastAsia="MS Mincho"/>
        </w:rPr>
      </w:pPr>
      <w:r w:rsidRPr="00AB340D">
        <w:rPr>
          <w:rFonts w:eastAsia="MS Mincho"/>
        </w:rPr>
        <w:t xml:space="preserve">April 20, 2016 </w:t>
      </w:r>
    </w:p>
    <w:p w:rsidR="00B1718C" w:rsidRDefault="00B1718C">
      <w:pPr>
        <w:rPr>
          <w:rFonts w:asciiTheme="majorHAnsi" w:hAnsiTheme="majorHAnsi"/>
          <w:b/>
        </w:rPr>
      </w:pPr>
      <w:r>
        <w:rPr>
          <w:rFonts w:asciiTheme="majorHAnsi" w:hAnsiTheme="majorHAnsi"/>
          <w:b/>
        </w:rPr>
        <w:br w:type="page"/>
      </w:r>
    </w:p>
    <w:p w:rsidR="004A6A80" w:rsidRDefault="00AB340D" w:rsidP="00C976CD">
      <w:pPr>
        <w:rPr>
          <w:rFonts w:asciiTheme="majorHAnsi" w:hAnsiTheme="majorHAnsi"/>
          <w:b/>
        </w:rPr>
      </w:pPr>
      <w:r>
        <w:rPr>
          <w:rFonts w:asciiTheme="majorHAnsi" w:hAnsiTheme="majorHAnsi"/>
          <w:b/>
        </w:rPr>
        <w:lastRenderedPageBreak/>
        <w:t>Attachment 5</w:t>
      </w:r>
    </w:p>
    <w:p w:rsidR="00B1718C" w:rsidRDefault="00B1718C" w:rsidP="00C976CD">
      <w:pPr>
        <w:rPr>
          <w:rFonts w:asciiTheme="majorHAnsi" w:hAnsiTheme="majorHAnsi"/>
          <w:b/>
        </w:rPr>
      </w:pPr>
    </w:p>
    <w:p w:rsidR="00B1718C" w:rsidRPr="00B1718C" w:rsidRDefault="00B1718C" w:rsidP="00B1718C">
      <w:pPr>
        <w:spacing w:after="200" w:line="276" w:lineRule="auto"/>
        <w:rPr>
          <w:rFonts w:ascii="Calibri" w:eastAsia="Calibri" w:hAnsi="Calibri"/>
          <w:b/>
          <w:sz w:val="22"/>
          <w:szCs w:val="22"/>
        </w:rPr>
      </w:pPr>
      <w:r w:rsidRPr="00B1718C">
        <w:rPr>
          <w:rFonts w:ascii="Calibri" w:eastAsia="Calibri" w:hAnsi="Calibri"/>
          <w:b/>
          <w:sz w:val="22"/>
          <w:szCs w:val="22"/>
        </w:rPr>
        <w:t>CSCC Report</w:t>
      </w:r>
    </w:p>
    <w:p w:rsidR="00B1718C" w:rsidRDefault="00AB340D">
      <w:pPr>
        <w:rPr>
          <w:rFonts w:ascii="Calibri" w:eastAsia="Calibri" w:hAnsi="Calibri"/>
          <w:sz w:val="22"/>
          <w:szCs w:val="22"/>
        </w:rPr>
      </w:pPr>
      <w:r w:rsidRPr="00AB340D">
        <w:rPr>
          <w:rFonts w:ascii="Calibri" w:eastAsia="Calibri" w:hAnsi="Calibri"/>
          <w:sz w:val="22"/>
          <w:szCs w:val="22"/>
        </w:rPr>
        <w:t>CSCC has begun hosting open forums on the proposed revisions to the Undergraduate/Graduate Student Conduct Code(s) and the proposed new Title IX Policy.  The final open forum for both these items will be Tuesday, April 26, from 3:30-4:30 p.m. in Kendall Hall 233.  The CSCC has also met with Gary Miller, Director of Compliance and Privacy Officer, to begin work on reviewing, revising, and approving the Protection of Children Policy (an interim policy that defaulted to permanent without formal governance review).</w:t>
      </w:r>
      <w:r w:rsidR="00B1718C">
        <w:rPr>
          <w:rFonts w:ascii="Calibri" w:eastAsia="Calibri" w:hAnsi="Calibri"/>
          <w:sz w:val="22"/>
          <w:szCs w:val="22"/>
        </w:rPr>
        <w:br w:type="page"/>
      </w:r>
    </w:p>
    <w:p w:rsidR="00B1718C" w:rsidRPr="00B1718C" w:rsidRDefault="00AB340D" w:rsidP="00B1718C">
      <w:pPr>
        <w:spacing w:after="200" w:line="276" w:lineRule="auto"/>
        <w:rPr>
          <w:rFonts w:ascii="Calibri" w:eastAsia="Calibri" w:hAnsi="Calibri"/>
          <w:b/>
        </w:rPr>
      </w:pPr>
      <w:r>
        <w:rPr>
          <w:rFonts w:ascii="Calibri" w:eastAsia="Calibri" w:hAnsi="Calibri"/>
          <w:b/>
        </w:rPr>
        <w:lastRenderedPageBreak/>
        <w:t>Attachment 6</w:t>
      </w:r>
    </w:p>
    <w:p w:rsidR="00AB340D" w:rsidRPr="00AB340D" w:rsidRDefault="00AB340D" w:rsidP="00AB340D">
      <w:pPr>
        <w:spacing w:after="200" w:line="276" w:lineRule="auto"/>
        <w:rPr>
          <w:rFonts w:ascii="Calibri" w:eastAsia="Calibri" w:hAnsi="Calibri"/>
          <w:sz w:val="22"/>
          <w:szCs w:val="22"/>
        </w:rPr>
      </w:pPr>
      <w:r w:rsidRPr="00AB340D">
        <w:rPr>
          <w:rFonts w:ascii="Calibri" w:eastAsia="Calibri" w:hAnsi="Calibri"/>
          <w:sz w:val="22"/>
          <w:szCs w:val="22"/>
        </w:rPr>
        <w:t>April 22, 2016</w:t>
      </w:r>
    </w:p>
    <w:p w:rsidR="00AB340D" w:rsidRPr="00AB340D" w:rsidRDefault="00AB340D" w:rsidP="00AB340D">
      <w:pPr>
        <w:spacing w:after="200" w:line="276" w:lineRule="auto"/>
        <w:rPr>
          <w:rFonts w:ascii="Calibri" w:eastAsia="Calibri" w:hAnsi="Calibri"/>
          <w:sz w:val="22"/>
          <w:szCs w:val="22"/>
        </w:rPr>
      </w:pPr>
      <w:r w:rsidRPr="00AB340D">
        <w:rPr>
          <w:rFonts w:ascii="Calibri" w:eastAsia="Calibri" w:hAnsi="Calibri"/>
          <w:sz w:val="22"/>
          <w:szCs w:val="22"/>
        </w:rPr>
        <w:t xml:space="preserve">In preparation for its April meeting the Board of Trustees undertook a thorough review of its Bylaws. The revised version has several changes that were made in order to continually improve the process by which the Board makes decisions. In particular, the four committees that had representation from all stakeholders have been combined to create two committees, so that members of those committees can think more holistically about issues. These are Institutional Primary Purpose (Academic Affairs, Student Affairs, Enrollment), and Business and Infrastructure (Buildings and Grounds, Finance, Campus Safety, IT). This has also allowed changes to be made to the Board meeting schedule itself, such that more time will be available at the meetings to have substantive discussions. </w:t>
      </w:r>
    </w:p>
    <w:p w:rsidR="00AB340D" w:rsidRPr="00AB340D" w:rsidRDefault="00AB340D" w:rsidP="00AB340D">
      <w:pPr>
        <w:spacing w:after="200" w:line="276" w:lineRule="auto"/>
        <w:rPr>
          <w:rFonts w:ascii="Calibri" w:eastAsia="Calibri" w:hAnsi="Calibri"/>
          <w:sz w:val="22"/>
          <w:szCs w:val="22"/>
        </w:rPr>
      </w:pPr>
      <w:r w:rsidRPr="00AB340D">
        <w:rPr>
          <w:rFonts w:ascii="Calibri" w:eastAsia="Calibri" w:hAnsi="Calibri"/>
          <w:sz w:val="22"/>
          <w:szCs w:val="22"/>
        </w:rPr>
        <w:t>Respectfully submitted: M. O’Connell</w:t>
      </w:r>
    </w:p>
    <w:p w:rsidR="00AB340D" w:rsidRDefault="00AB340D">
      <w:pPr>
        <w:rPr>
          <w:rFonts w:ascii="Arial" w:eastAsia="Arial" w:hAnsi="Arial" w:cs="Arial"/>
          <w:color w:val="000000"/>
          <w:sz w:val="22"/>
          <w:szCs w:val="22"/>
        </w:rPr>
      </w:pPr>
      <w:r>
        <w:rPr>
          <w:rFonts w:ascii="Arial" w:eastAsia="Arial" w:hAnsi="Arial" w:cs="Arial"/>
          <w:color w:val="000000"/>
          <w:sz w:val="22"/>
          <w:szCs w:val="22"/>
        </w:rPr>
        <w:br w:type="page"/>
      </w:r>
    </w:p>
    <w:p w:rsidR="00B1718C" w:rsidRDefault="00B1718C">
      <w:pPr>
        <w:rPr>
          <w:rFonts w:ascii="Arial" w:eastAsia="Arial" w:hAnsi="Arial" w:cs="Arial"/>
          <w:color w:val="000000"/>
          <w:sz w:val="22"/>
          <w:szCs w:val="22"/>
        </w:rPr>
      </w:pPr>
    </w:p>
    <w:p w:rsidR="00B1718C" w:rsidRDefault="00AB340D" w:rsidP="00B1718C">
      <w:pPr>
        <w:spacing w:line="276" w:lineRule="auto"/>
        <w:rPr>
          <w:rFonts w:ascii="Arial" w:eastAsia="Arial" w:hAnsi="Arial" w:cs="Arial"/>
          <w:color w:val="000000"/>
          <w:sz w:val="22"/>
          <w:szCs w:val="22"/>
        </w:rPr>
      </w:pPr>
      <w:r>
        <w:rPr>
          <w:rFonts w:ascii="Arial" w:eastAsia="Arial" w:hAnsi="Arial" w:cs="Arial"/>
          <w:color w:val="000000"/>
          <w:sz w:val="22"/>
          <w:szCs w:val="22"/>
        </w:rPr>
        <w:t>Attachment 7</w:t>
      </w:r>
    </w:p>
    <w:p w:rsidR="00B1718C" w:rsidRDefault="00B1718C" w:rsidP="00B1718C">
      <w:pPr>
        <w:spacing w:line="276" w:lineRule="auto"/>
        <w:rPr>
          <w:rFonts w:ascii="Arial" w:eastAsia="Arial" w:hAnsi="Arial" w:cs="Arial"/>
          <w:color w:val="000000"/>
          <w:sz w:val="22"/>
          <w:szCs w:val="22"/>
        </w:rPr>
      </w:pPr>
    </w:p>
    <w:p w:rsidR="00AB340D" w:rsidRPr="00AB340D" w:rsidRDefault="00AB340D" w:rsidP="00AB340D">
      <w:pPr>
        <w:jc w:val="center"/>
        <w:rPr>
          <w:rFonts w:eastAsia="Calibri"/>
          <w:b/>
        </w:rPr>
      </w:pPr>
      <w:r w:rsidRPr="00AB340D">
        <w:rPr>
          <w:rFonts w:eastAsia="Calibri"/>
          <w:b/>
        </w:rPr>
        <w:t xml:space="preserve">President’s Report from John </w:t>
      </w:r>
      <w:proofErr w:type="spellStart"/>
      <w:r w:rsidRPr="00AB340D">
        <w:rPr>
          <w:rFonts w:eastAsia="Calibri"/>
          <w:b/>
        </w:rPr>
        <w:t>Krimmel</w:t>
      </w:r>
      <w:proofErr w:type="spellEnd"/>
      <w:r w:rsidRPr="00AB340D">
        <w:rPr>
          <w:rFonts w:eastAsia="Calibri"/>
          <w:b/>
        </w:rPr>
        <w:t xml:space="preserve"> for April 20, 2016</w:t>
      </w:r>
    </w:p>
    <w:p w:rsidR="00AB340D" w:rsidRPr="00AB340D" w:rsidRDefault="00AB340D" w:rsidP="00AB340D">
      <w:pPr>
        <w:rPr>
          <w:rFonts w:eastAsia="Calibri"/>
          <w:b/>
        </w:rPr>
      </w:pPr>
    </w:p>
    <w:p w:rsidR="00AB340D" w:rsidRPr="00AB340D" w:rsidRDefault="00AB340D" w:rsidP="00AB340D">
      <w:pPr>
        <w:rPr>
          <w:rFonts w:eastAsia="Calibri"/>
          <w:b/>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Developed and delivered a petition to the Board of Trustees</w:t>
      </w:r>
    </w:p>
    <w:p w:rsidR="00AB340D" w:rsidRPr="00AB340D" w:rsidRDefault="00AB340D" w:rsidP="00AB340D">
      <w:pPr>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I dealt with conflicts and grievances with Humanities and Social Sciences, School of Education, School of Science, School of Engineering, School of Art and Communication and Professional Staff.</w:t>
      </w:r>
      <w:r w:rsidRPr="00AB340D">
        <w:rPr>
          <w:rFonts w:eastAsia="Calibri"/>
        </w:rPr>
        <w:br/>
      </w: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Attending a fundraiser for Assemblyman Dan Benson</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Facilitated Membership Drive</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Participated in VIBE (Review Five Year) Process</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 xml:space="preserve">Attended President </w:t>
      </w:r>
      <w:proofErr w:type="spellStart"/>
      <w:r w:rsidRPr="00AB340D">
        <w:rPr>
          <w:rFonts w:eastAsia="Calibri"/>
        </w:rPr>
        <w:t>Gitenstein</w:t>
      </w:r>
      <w:proofErr w:type="spellEnd"/>
      <w:r w:rsidRPr="00AB340D">
        <w:rPr>
          <w:rFonts w:eastAsia="Calibri"/>
        </w:rPr>
        <w:t xml:space="preserve"> Breakfast</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Attended Leadership Meetings</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Attended Council Meeting</w:t>
      </w:r>
    </w:p>
    <w:p w:rsidR="00AB340D" w:rsidRPr="00AB340D" w:rsidRDefault="00AB340D" w:rsidP="00AB340D">
      <w:pPr>
        <w:spacing w:after="200" w:line="276" w:lineRule="auto"/>
        <w:ind w:left="720"/>
        <w:contextualSpacing/>
        <w:rPr>
          <w:rFonts w:eastAsia="Calibri"/>
        </w:rPr>
      </w:pPr>
    </w:p>
    <w:p w:rsidR="00AB340D" w:rsidRPr="00AB340D" w:rsidRDefault="00AB340D" w:rsidP="00AB340D">
      <w:pPr>
        <w:numPr>
          <w:ilvl w:val="0"/>
          <w:numId w:val="48"/>
        </w:numPr>
        <w:spacing w:after="200" w:line="276" w:lineRule="auto"/>
        <w:contextualSpacing/>
        <w:rPr>
          <w:rFonts w:eastAsia="Calibri"/>
        </w:rPr>
      </w:pPr>
      <w:r w:rsidRPr="00AB340D">
        <w:rPr>
          <w:rFonts w:eastAsia="Calibri"/>
        </w:rPr>
        <w:t>Attended Faculty Senate Meeting</w:t>
      </w:r>
    </w:p>
    <w:p w:rsidR="00B1718C" w:rsidRPr="00B1718C" w:rsidRDefault="00B1718C" w:rsidP="00B1718C">
      <w:pPr>
        <w:spacing w:line="276" w:lineRule="auto"/>
        <w:rPr>
          <w:rFonts w:ascii="Arial" w:eastAsia="Arial" w:hAnsi="Arial" w:cs="Arial"/>
          <w:color w:val="000000"/>
          <w:sz w:val="22"/>
          <w:szCs w:val="22"/>
        </w:rPr>
      </w:pPr>
    </w:p>
    <w:p w:rsidR="00B1718C" w:rsidRPr="00B1718C" w:rsidRDefault="00B1718C" w:rsidP="00B1718C">
      <w:pPr>
        <w:spacing w:line="276" w:lineRule="auto"/>
        <w:rPr>
          <w:rFonts w:ascii="Arial" w:eastAsia="Arial" w:hAnsi="Arial" w:cs="Arial"/>
          <w:color w:val="000000"/>
          <w:sz w:val="22"/>
          <w:szCs w:val="22"/>
        </w:rPr>
      </w:pPr>
    </w:p>
    <w:p w:rsidR="00B1718C" w:rsidRPr="00B7168D" w:rsidRDefault="00B1718C" w:rsidP="00C976CD">
      <w:pPr>
        <w:rPr>
          <w:rFonts w:asciiTheme="majorHAnsi" w:hAnsiTheme="majorHAnsi"/>
          <w:b/>
        </w:rPr>
      </w:pPr>
    </w:p>
    <w:sectPr w:rsidR="00B1718C"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6B" w:rsidRDefault="00124B6B" w:rsidP="00156D90">
      <w:r>
        <w:separator/>
      </w:r>
    </w:p>
  </w:endnote>
  <w:endnote w:type="continuationSeparator" w:id="0">
    <w:p w:rsidR="00124B6B" w:rsidRDefault="00124B6B"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6B" w:rsidRDefault="00124B6B" w:rsidP="00156D90">
      <w:r>
        <w:separator/>
      </w:r>
    </w:p>
  </w:footnote>
  <w:footnote w:type="continuationSeparator" w:id="0">
    <w:p w:rsidR="00124B6B" w:rsidRDefault="00124B6B" w:rsidP="00156D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7712"/>
    <w:multiLevelType w:val="hybridMultilevel"/>
    <w:tmpl w:val="7F321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40C7F"/>
    <w:multiLevelType w:val="hybridMultilevel"/>
    <w:tmpl w:val="3802F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6741CF"/>
    <w:multiLevelType w:val="hybridMultilevel"/>
    <w:tmpl w:val="C36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4">
    <w:nsid w:val="33C07F0E"/>
    <w:multiLevelType w:val="hybridMultilevel"/>
    <w:tmpl w:val="90A4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6652F"/>
    <w:multiLevelType w:val="hybridMultilevel"/>
    <w:tmpl w:val="265E3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331AED"/>
    <w:multiLevelType w:val="hybridMultilevel"/>
    <w:tmpl w:val="7B782348"/>
    <w:lvl w:ilvl="0" w:tplc="76921B7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5">
    <w:nsid w:val="79E75BBC"/>
    <w:multiLevelType w:val="hybridMultilevel"/>
    <w:tmpl w:val="EEA4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9"/>
  </w:num>
  <w:num w:numId="4">
    <w:abstractNumId w:val="25"/>
  </w:num>
  <w:num w:numId="5">
    <w:abstractNumId w:val="15"/>
  </w:num>
  <w:num w:numId="6">
    <w:abstractNumId w:val="6"/>
  </w:num>
  <w:num w:numId="7">
    <w:abstractNumId w:val="4"/>
  </w:num>
  <w:num w:numId="8">
    <w:abstractNumId w:val="16"/>
  </w:num>
  <w:num w:numId="9">
    <w:abstractNumId w:val="1"/>
  </w:num>
  <w:num w:numId="10">
    <w:abstractNumId w:val="21"/>
  </w:num>
  <w:num w:numId="11">
    <w:abstractNumId w:val="23"/>
  </w:num>
  <w:num w:numId="12">
    <w:abstractNumId w:val="31"/>
  </w:num>
  <w:num w:numId="13">
    <w:abstractNumId w:val="37"/>
  </w:num>
  <w:num w:numId="14">
    <w:abstractNumId w:val="22"/>
  </w:num>
  <w:num w:numId="15">
    <w:abstractNumId w:val="28"/>
  </w:num>
  <w:num w:numId="16">
    <w:abstractNumId w:val="42"/>
  </w:num>
  <w:num w:numId="17">
    <w:abstractNumId w:val="12"/>
  </w:num>
  <w:num w:numId="18">
    <w:abstractNumId w:val="41"/>
  </w:num>
  <w:num w:numId="19">
    <w:abstractNumId w:val="26"/>
  </w:num>
  <w:num w:numId="20">
    <w:abstractNumId w:val="40"/>
  </w:num>
  <w:num w:numId="21">
    <w:abstractNumId w:val="46"/>
  </w:num>
  <w:num w:numId="22">
    <w:abstractNumId w:val="36"/>
  </w:num>
  <w:num w:numId="23">
    <w:abstractNumId w:val="10"/>
  </w:num>
  <w:num w:numId="24">
    <w:abstractNumId w:val="3"/>
  </w:num>
  <w:num w:numId="25">
    <w:abstractNumId w:val="44"/>
  </w:num>
  <w:num w:numId="26">
    <w:abstractNumId w:val="13"/>
  </w:num>
  <w:num w:numId="27">
    <w:abstractNumId w:val="20"/>
  </w:num>
  <w:num w:numId="28">
    <w:abstractNumId w:val="24"/>
  </w:num>
  <w:num w:numId="29">
    <w:abstractNumId w:val="18"/>
  </w:num>
  <w:num w:numId="30">
    <w:abstractNumId w:val="35"/>
  </w:num>
  <w:num w:numId="31">
    <w:abstractNumId w:val="0"/>
  </w:num>
  <w:num w:numId="32">
    <w:abstractNumId w:val="27"/>
  </w:num>
  <w:num w:numId="33">
    <w:abstractNumId w:val="17"/>
  </w:num>
  <w:num w:numId="34">
    <w:abstractNumId w:val="38"/>
  </w:num>
  <w:num w:numId="35">
    <w:abstractNumId w:val="43"/>
  </w:num>
  <w:num w:numId="36">
    <w:abstractNumId w:val="33"/>
  </w:num>
  <w:num w:numId="37">
    <w:abstractNumId w:val="19"/>
  </w:num>
  <w:num w:numId="38">
    <w:abstractNumId w:val="5"/>
  </w:num>
  <w:num w:numId="39">
    <w:abstractNumId w:val="39"/>
  </w:num>
  <w:num w:numId="40">
    <w:abstractNumId w:val="14"/>
  </w:num>
  <w:num w:numId="41">
    <w:abstractNumId w:val="3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4"/>
  </w:num>
  <w:num w:numId="45">
    <w:abstractNumId w:val="30"/>
  </w:num>
  <w:num w:numId="46">
    <w:abstractNumId w:val="2"/>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27E90"/>
    <w:rsid w:val="000313C9"/>
    <w:rsid w:val="00031C51"/>
    <w:rsid w:val="00042591"/>
    <w:rsid w:val="00047554"/>
    <w:rsid w:val="0005488A"/>
    <w:rsid w:val="00056A4E"/>
    <w:rsid w:val="00056D9F"/>
    <w:rsid w:val="0006022C"/>
    <w:rsid w:val="00076310"/>
    <w:rsid w:val="0007663C"/>
    <w:rsid w:val="00077B8D"/>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1BA6"/>
    <w:rsid w:val="001A1EDB"/>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3D6B"/>
    <w:rsid w:val="00233FBD"/>
    <w:rsid w:val="00234F63"/>
    <w:rsid w:val="00236FA5"/>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93790"/>
    <w:rsid w:val="00294223"/>
    <w:rsid w:val="002947FC"/>
    <w:rsid w:val="002951EA"/>
    <w:rsid w:val="0029532A"/>
    <w:rsid w:val="002A0847"/>
    <w:rsid w:val="002A0C40"/>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D110F"/>
    <w:rsid w:val="003D45EE"/>
    <w:rsid w:val="003E2E34"/>
    <w:rsid w:val="003E387B"/>
    <w:rsid w:val="003F5F86"/>
    <w:rsid w:val="00403096"/>
    <w:rsid w:val="00403560"/>
    <w:rsid w:val="00420B2C"/>
    <w:rsid w:val="00423D51"/>
    <w:rsid w:val="00425AD2"/>
    <w:rsid w:val="00435298"/>
    <w:rsid w:val="00440871"/>
    <w:rsid w:val="004417CD"/>
    <w:rsid w:val="00444BB2"/>
    <w:rsid w:val="0045121A"/>
    <w:rsid w:val="004539C7"/>
    <w:rsid w:val="00455B01"/>
    <w:rsid w:val="00460A2F"/>
    <w:rsid w:val="004616D9"/>
    <w:rsid w:val="00465C88"/>
    <w:rsid w:val="004677B6"/>
    <w:rsid w:val="0046789E"/>
    <w:rsid w:val="00480072"/>
    <w:rsid w:val="004823BA"/>
    <w:rsid w:val="00482D67"/>
    <w:rsid w:val="004833CC"/>
    <w:rsid w:val="004875BD"/>
    <w:rsid w:val="00492BE0"/>
    <w:rsid w:val="00494680"/>
    <w:rsid w:val="00497EE0"/>
    <w:rsid w:val="004A3E54"/>
    <w:rsid w:val="004A6478"/>
    <w:rsid w:val="004A6A80"/>
    <w:rsid w:val="004A7A0C"/>
    <w:rsid w:val="004B65DC"/>
    <w:rsid w:val="004B6F49"/>
    <w:rsid w:val="004C64CE"/>
    <w:rsid w:val="004C7A7F"/>
    <w:rsid w:val="004D1F86"/>
    <w:rsid w:val="004D26C8"/>
    <w:rsid w:val="004D4345"/>
    <w:rsid w:val="004D659A"/>
    <w:rsid w:val="004E2D7D"/>
    <w:rsid w:val="004E2E90"/>
    <w:rsid w:val="004E3855"/>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365E0"/>
    <w:rsid w:val="0064523F"/>
    <w:rsid w:val="006457E5"/>
    <w:rsid w:val="0065057A"/>
    <w:rsid w:val="00651101"/>
    <w:rsid w:val="00651DBD"/>
    <w:rsid w:val="00654BBE"/>
    <w:rsid w:val="00657B92"/>
    <w:rsid w:val="0066252A"/>
    <w:rsid w:val="00666EB1"/>
    <w:rsid w:val="00667055"/>
    <w:rsid w:val="00667F7D"/>
    <w:rsid w:val="0067596F"/>
    <w:rsid w:val="006808B7"/>
    <w:rsid w:val="00683CAC"/>
    <w:rsid w:val="00686926"/>
    <w:rsid w:val="00692D14"/>
    <w:rsid w:val="00693305"/>
    <w:rsid w:val="00697E3E"/>
    <w:rsid w:val="006A2F81"/>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1523"/>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363B"/>
    <w:rsid w:val="009D65C6"/>
    <w:rsid w:val="009D6CE7"/>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699F"/>
    <w:rsid w:val="00AA33A8"/>
    <w:rsid w:val="00AA55CB"/>
    <w:rsid w:val="00AB163C"/>
    <w:rsid w:val="00AB3008"/>
    <w:rsid w:val="00AB340D"/>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2514"/>
    <w:rsid w:val="00BF29EC"/>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0B90"/>
    <w:rsid w:val="00C71137"/>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B1732"/>
    <w:rsid w:val="00DB1757"/>
    <w:rsid w:val="00DC1574"/>
    <w:rsid w:val="00DC5F97"/>
    <w:rsid w:val="00DD1B20"/>
    <w:rsid w:val="00DD4162"/>
    <w:rsid w:val="00DE68D6"/>
    <w:rsid w:val="00DF1124"/>
    <w:rsid w:val="00DF2103"/>
    <w:rsid w:val="00DF59C3"/>
    <w:rsid w:val="00DF7AAC"/>
    <w:rsid w:val="00E02ADF"/>
    <w:rsid w:val="00E0563D"/>
    <w:rsid w:val="00E12838"/>
    <w:rsid w:val="00E141A5"/>
    <w:rsid w:val="00E15B63"/>
    <w:rsid w:val="00E20858"/>
    <w:rsid w:val="00E23B31"/>
    <w:rsid w:val="00E24D85"/>
    <w:rsid w:val="00E25206"/>
    <w:rsid w:val="00E25D9D"/>
    <w:rsid w:val="00E265BA"/>
    <w:rsid w:val="00E27730"/>
    <w:rsid w:val="00E3104C"/>
    <w:rsid w:val="00E31DF9"/>
    <w:rsid w:val="00E3589C"/>
    <w:rsid w:val="00E3690E"/>
    <w:rsid w:val="00E417EF"/>
    <w:rsid w:val="00E41F72"/>
    <w:rsid w:val="00E427CE"/>
    <w:rsid w:val="00E43F62"/>
    <w:rsid w:val="00E4794A"/>
    <w:rsid w:val="00E47CDC"/>
    <w:rsid w:val="00E5190A"/>
    <w:rsid w:val="00E571C5"/>
    <w:rsid w:val="00E6455D"/>
    <w:rsid w:val="00E649B5"/>
    <w:rsid w:val="00E672C1"/>
    <w:rsid w:val="00E677C3"/>
    <w:rsid w:val="00E82BEF"/>
    <w:rsid w:val="00E840C7"/>
    <w:rsid w:val="00E85AA9"/>
    <w:rsid w:val="00E91956"/>
    <w:rsid w:val="00E936F2"/>
    <w:rsid w:val="00E96E88"/>
    <w:rsid w:val="00E97873"/>
    <w:rsid w:val="00EA24A8"/>
    <w:rsid w:val="00EA4141"/>
    <w:rsid w:val="00EB3DDB"/>
    <w:rsid w:val="00EB436B"/>
    <w:rsid w:val="00EC109E"/>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AAB9-8707-D041-80E9-A2067A7C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1931</Words>
  <Characters>11008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TestUSer</cp:lastModifiedBy>
  <cp:revision>2</cp:revision>
  <cp:lastPrinted>2015-05-11T12:28:00Z</cp:lastPrinted>
  <dcterms:created xsi:type="dcterms:W3CDTF">2016-05-07T16:09:00Z</dcterms:created>
  <dcterms:modified xsi:type="dcterms:W3CDTF">2016-05-07T16:09:00Z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