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670CB5" w:rsidP="006A708A">
      <w:pPr>
        <w:jc w:val="center"/>
        <w:rPr>
          <w:rFonts w:asciiTheme="minorHAnsi" w:hAnsiTheme="minorHAnsi" w:cstheme="minorHAnsi"/>
          <w:b/>
        </w:rPr>
      </w:pPr>
      <w:r>
        <w:rPr>
          <w:rFonts w:asciiTheme="minorHAnsi" w:hAnsiTheme="minorHAnsi" w:cstheme="minorHAnsi"/>
          <w:b/>
        </w:rPr>
        <w:t>April 19</w:t>
      </w:r>
      <w:r w:rsidR="00DA6CC6">
        <w:rPr>
          <w:rFonts w:asciiTheme="minorHAnsi" w:hAnsiTheme="minorHAnsi" w:cstheme="minorHAnsi"/>
          <w:b/>
        </w:rPr>
        <w:t>, 2017</w:t>
      </w:r>
      <w:r w:rsidR="006A708A">
        <w:rPr>
          <w:rFonts w:asciiTheme="minorHAnsi" w:hAnsiTheme="minorHAnsi" w:cstheme="minorHAnsi"/>
          <w:b/>
        </w:rPr>
        <w:t xml:space="preserve"> – 12:00-1:20 pm – SCP 117</w:t>
      </w:r>
    </w:p>
    <w:p w:rsidR="00F303F9" w:rsidRDefault="00F303F9" w:rsidP="009E182A">
      <w:pPr>
        <w:jc w:val="center"/>
        <w:rPr>
          <w:b/>
        </w:rPr>
      </w:pPr>
    </w:p>
    <w:p w:rsidR="00F303F9" w:rsidRPr="005E003C" w:rsidRDefault="00F303F9" w:rsidP="009E182A">
      <w:pPr>
        <w:jc w:val="center"/>
        <w:rPr>
          <w:b/>
        </w:rPr>
      </w:pPr>
    </w:p>
    <w:p w:rsidR="001A4570"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670CB5">
        <w:rPr>
          <w:rFonts w:asciiTheme="minorHAnsi" w:hAnsiTheme="minorHAnsi" w:cstheme="minorHAnsi"/>
          <w:sz w:val="22"/>
          <w:szCs w:val="22"/>
        </w:rPr>
        <w:t xml:space="preserve">Abourahma, </w:t>
      </w:r>
      <w:r w:rsidR="00AB648B">
        <w:rPr>
          <w:rFonts w:asciiTheme="minorHAnsi" w:hAnsiTheme="minorHAnsi" w:cstheme="minorHAnsi"/>
          <w:sz w:val="22"/>
          <w:szCs w:val="22"/>
        </w:rPr>
        <w:t>A</w:t>
      </w:r>
      <w:r w:rsidR="00DA6CC6">
        <w:rPr>
          <w:rFonts w:asciiTheme="minorHAnsi" w:hAnsiTheme="minorHAnsi" w:cstheme="minorHAnsi"/>
          <w:sz w:val="22"/>
          <w:szCs w:val="22"/>
        </w:rPr>
        <w:t>nthony</w:t>
      </w:r>
      <w:r w:rsidR="00AB648B">
        <w:rPr>
          <w:rFonts w:asciiTheme="minorHAnsi" w:hAnsiTheme="minorHAnsi" w:cstheme="minorHAnsi"/>
          <w:sz w:val="22"/>
          <w:szCs w:val="22"/>
        </w:rPr>
        <w:t xml:space="preserve">, </w:t>
      </w:r>
      <w:r w:rsidR="00670CB5">
        <w:rPr>
          <w:rFonts w:asciiTheme="minorHAnsi" w:hAnsiTheme="minorHAnsi" w:cstheme="minorHAnsi"/>
          <w:sz w:val="22"/>
          <w:szCs w:val="22"/>
        </w:rPr>
        <w:t xml:space="preserve">Baker, </w:t>
      </w:r>
      <w:r w:rsidR="00AB648B">
        <w:rPr>
          <w:rFonts w:asciiTheme="minorHAnsi" w:hAnsiTheme="minorHAnsi" w:cstheme="minorHAnsi"/>
          <w:sz w:val="22"/>
          <w:szCs w:val="22"/>
        </w:rPr>
        <w:t xml:space="preserve">Blake, </w:t>
      </w:r>
      <w:r w:rsidR="00DA6CC6">
        <w:rPr>
          <w:rFonts w:asciiTheme="minorHAnsi" w:hAnsiTheme="minorHAnsi" w:cstheme="minorHAnsi"/>
          <w:sz w:val="22"/>
          <w:szCs w:val="22"/>
        </w:rPr>
        <w:t xml:space="preserve">Brechman, </w:t>
      </w:r>
      <w:r w:rsidR="00AB648B">
        <w:rPr>
          <w:rFonts w:asciiTheme="minorHAnsi" w:hAnsiTheme="minorHAnsi" w:cstheme="minorHAnsi"/>
          <w:sz w:val="22"/>
          <w:szCs w:val="22"/>
        </w:rPr>
        <w:t xml:space="preserve">Bunagan, </w:t>
      </w:r>
      <w:r w:rsidR="00DA6CC6">
        <w:rPr>
          <w:rFonts w:asciiTheme="minorHAnsi" w:hAnsiTheme="minorHAnsi" w:cstheme="minorHAnsi"/>
          <w:sz w:val="22"/>
          <w:szCs w:val="22"/>
        </w:rPr>
        <w:t xml:space="preserve">Bush, </w:t>
      </w:r>
      <w:r w:rsidR="00AB648B">
        <w:rPr>
          <w:rFonts w:asciiTheme="minorHAnsi" w:hAnsiTheme="minorHAnsi" w:cstheme="minorHAnsi"/>
          <w:sz w:val="22"/>
          <w:szCs w:val="22"/>
        </w:rPr>
        <w:t xml:space="preserve">Curtis, </w:t>
      </w:r>
      <w:r w:rsidR="005D396B">
        <w:rPr>
          <w:rFonts w:asciiTheme="minorHAnsi" w:hAnsiTheme="minorHAnsi" w:cstheme="minorHAnsi"/>
          <w:sz w:val="22"/>
          <w:szCs w:val="22"/>
        </w:rPr>
        <w:t xml:space="preserve">Dickinson, </w:t>
      </w:r>
      <w:r w:rsidR="00DA6CC6">
        <w:rPr>
          <w:rFonts w:asciiTheme="minorHAnsi" w:hAnsiTheme="minorHAnsi" w:cstheme="minorHAnsi"/>
          <w:sz w:val="22"/>
          <w:szCs w:val="22"/>
        </w:rPr>
        <w:t xml:space="preserve">Didi-Ogren, </w:t>
      </w:r>
      <w:r w:rsidR="006A708A">
        <w:rPr>
          <w:rFonts w:asciiTheme="minorHAnsi" w:hAnsiTheme="minorHAnsi" w:cstheme="minorHAnsi"/>
          <w:sz w:val="22"/>
          <w:szCs w:val="22"/>
        </w:rPr>
        <w:t>Domingo, Farrell</w:t>
      </w:r>
      <w:r w:rsidR="005D396B">
        <w:rPr>
          <w:rFonts w:asciiTheme="minorHAnsi" w:hAnsiTheme="minorHAnsi" w:cstheme="minorHAnsi"/>
          <w:sz w:val="22"/>
          <w:szCs w:val="22"/>
        </w:rPr>
        <w:t>,</w:t>
      </w:r>
      <w:r w:rsidR="006A708A">
        <w:rPr>
          <w:rFonts w:asciiTheme="minorHAnsi" w:hAnsiTheme="minorHAnsi" w:cstheme="minorHAnsi"/>
          <w:sz w:val="22"/>
          <w:szCs w:val="22"/>
        </w:rPr>
        <w:t xml:space="preserve"> </w:t>
      </w:r>
      <w:r w:rsidR="00670CB5">
        <w:rPr>
          <w:rFonts w:asciiTheme="minorHAnsi" w:hAnsiTheme="minorHAnsi" w:cstheme="minorHAnsi"/>
          <w:sz w:val="22"/>
          <w:szCs w:val="22"/>
        </w:rPr>
        <w:t xml:space="preserve">Gevertz, </w:t>
      </w:r>
      <w:r w:rsidR="006A708A">
        <w:rPr>
          <w:rFonts w:asciiTheme="minorHAnsi" w:hAnsiTheme="minorHAnsi" w:cstheme="minorHAnsi"/>
          <w:sz w:val="22"/>
          <w:szCs w:val="22"/>
        </w:rPr>
        <w:t xml:space="preserve">Girard, </w:t>
      </w:r>
      <w:r w:rsidR="00DA6CC6">
        <w:rPr>
          <w:rFonts w:asciiTheme="minorHAnsi" w:hAnsiTheme="minorHAnsi" w:cstheme="minorHAnsi"/>
          <w:sz w:val="22"/>
          <w:szCs w:val="22"/>
        </w:rPr>
        <w:t xml:space="preserve">Hall, </w:t>
      </w:r>
      <w:r w:rsidR="002209C0">
        <w:rPr>
          <w:rFonts w:asciiTheme="minorHAnsi" w:hAnsiTheme="minorHAnsi" w:cstheme="minorHAnsi"/>
          <w:sz w:val="22"/>
          <w:szCs w:val="22"/>
        </w:rPr>
        <w:t>Holleran</w:t>
      </w:r>
      <w:r w:rsidR="006A708A">
        <w:rPr>
          <w:rFonts w:asciiTheme="minorHAnsi" w:hAnsiTheme="minorHAnsi" w:cstheme="minorHAnsi"/>
          <w:sz w:val="22"/>
          <w:szCs w:val="22"/>
        </w:rPr>
        <w:t xml:space="preserve">, </w:t>
      </w:r>
      <w:r w:rsidR="00670CB5">
        <w:rPr>
          <w:rFonts w:asciiTheme="minorHAnsi" w:hAnsiTheme="minorHAnsi" w:cstheme="minorHAnsi"/>
          <w:sz w:val="22"/>
          <w:szCs w:val="22"/>
        </w:rPr>
        <w:t xml:space="preserve">Jaksch, </w:t>
      </w:r>
      <w:r w:rsidR="006A708A">
        <w:rPr>
          <w:rFonts w:asciiTheme="minorHAnsi" w:hAnsiTheme="minorHAnsi" w:cstheme="minorHAnsi"/>
          <w:sz w:val="22"/>
          <w:szCs w:val="22"/>
        </w:rPr>
        <w:t xml:space="preserve">Kim, </w:t>
      </w:r>
      <w:r w:rsidR="00AB648B">
        <w:rPr>
          <w:rFonts w:asciiTheme="minorHAnsi" w:hAnsiTheme="minorHAnsi" w:cstheme="minorHAnsi"/>
          <w:sz w:val="22"/>
          <w:szCs w:val="22"/>
        </w:rPr>
        <w:t xml:space="preserve">Krstic, </w:t>
      </w:r>
      <w:r w:rsidR="006A708A">
        <w:rPr>
          <w:rFonts w:asciiTheme="minorHAnsi" w:hAnsiTheme="minorHAnsi" w:cstheme="minorHAnsi"/>
          <w:sz w:val="22"/>
          <w:szCs w:val="22"/>
        </w:rPr>
        <w:t>LaJevic,</w:t>
      </w:r>
      <w:r w:rsidR="00AB648B">
        <w:rPr>
          <w:rFonts w:asciiTheme="minorHAnsi" w:hAnsiTheme="minorHAnsi" w:cstheme="minorHAnsi"/>
          <w:sz w:val="22"/>
          <w:szCs w:val="22"/>
        </w:rPr>
        <w:t xml:space="preserve"> </w:t>
      </w:r>
      <w:r w:rsidR="00670CB5">
        <w:rPr>
          <w:rFonts w:asciiTheme="minorHAnsi" w:hAnsiTheme="minorHAnsi" w:cstheme="minorHAnsi"/>
          <w:sz w:val="22"/>
          <w:szCs w:val="22"/>
        </w:rPr>
        <w:t xml:space="preserve">Landreau, </w:t>
      </w:r>
      <w:r w:rsidR="00AB648B">
        <w:rPr>
          <w:rFonts w:asciiTheme="minorHAnsi" w:hAnsiTheme="minorHAnsi" w:cstheme="minorHAnsi"/>
          <w:sz w:val="22"/>
          <w:szCs w:val="22"/>
        </w:rPr>
        <w:t xml:space="preserve">Le Morvan, </w:t>
      </w:r>
      <w:r w:rsidR="00670CB5">
        <w:rPr>
          <w:rFonts w:asciiTheme="minorHAnsi" w:hAnsiTheme="minorHAnsi" w:cstheme="minorHAnsi"/>
          <w:sz w:val="22"/>
          <w:szCs w:val="22"/>
        </w:rPr>
        <w:t xml:space="preserve">Leonard, Li, </w:t>
      </w:r>
      <w:r w:rsidR="006A708A">
        <w:rPr>
          <w:rFonts w:asciiTheme="minorHAnsi" w:hAnsiTheme="minorHAnsi" w:cstheme="minorHAnsi"/>
          <w:sz w:val="22"/>
          <w:szCs w:val="22"/>
        </w:rPr>
        <w:t xml:space="preserve">Lopes-Murphy, </w:t>
      </w:r>
      <w:r w:rsidR="00AB648B">
        <w:rPr>
          <w:rFonts w:asciiTheme="minorHAnsi" w:hAnsiTheme="minorHAnsi" w:cstheme="minorHAnsi"/>
          <w:sz w:val="22"/>
          <w:szCs w:val="22"/>
        </w:rPr>
        <w:t xml:space="preserve">McGreevey, </w:t>
      </w:r>
      <w:r w:rsidR="006A708A">
        <w:rPr>
          <w:rFonts w:asciiTheme="minorHAnsi" w:hAnsiTheme="minorHAnsi" w:cstheme="minorHAnsi"/>
          <w:sz w:val="22"/>
          <w:szCs w:val="22"/>
        </w:rPr>
        <w:t xml:space="preserve">Meixner, </w:t>
      </w:r>
      <w:r w:rsidR="002209C0">
        <w:rPr>
          <w:rFonts w:asciiTheme="minorHAnsi" w:hAnsiTheme="minorHAnsi" w:cstheme="minorHAnsi"/>
          <w:sz w:val="22"/>
          <w:szCs w:val="22"/>
        </w:rPr>
        <w:t xml:space="preserve">Morin, Norvell, </w:t>
      </w:r>
      <w:r w:rsidR="008C12A9">
        <w:rPr>
          <w:rFonts w:asciiTheme="minorHAnsi" w:hAnsiTheme="minorHAnsi" w:cstheme="minorHAnsi"/>
          <w:sz w:val="22"/>
          <w:szCs w:val="22"/>
        </w:rPr>
        <w:t xml:space="preserve">Peel, </w:t>
      </w:r>
      <w:r w:rsidR="00AB648B">
        <w:rPr>
          <w:rFonts w:asciiTheme="minorHAnsi" w:hAnsiTheme="minorHAnsi" w:cstheme="minorHAnsi"/>
          <w:sz w:val="22"/>
          <w:szCs w:val="22"/>
        </w:rPr>
        <w:t>Prensky,</w:t>
      </w:r>
      <w:r w:rsidR="00670CB5">
        <w:rPr>
          <w:rFonts w:asciiTheme="minorHAnsi" w:hAnsiTheme="minorHAnsi" w:cstheme="minorHAnsi"/>
          <w:sz w:val="22"/>
          <w:szCs w:val="22"/>
        </w:rPr>
        <w:t xml:space="preserve"> Sear s, Shakow, Steinberg, Vickerman.</w:t>
      </w:r>
    </w:p>
    <w:p w:rsidR="00DA6CC6" w:rsidRPr="002209C0" w:rsidRDefault="00BC0EF2" w:rsidP="00670CB5">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8C12A9">
        <w:rPr>
          <w:rFonts w:asciiTheme="minorHAnsi" w:hAnsiTheme="minorHAnsi" w:cstheme="minorHAnsi"/>
          <w:b/>
          <w:sz w:val="22"/>
          <w:szCs w:val="22"/>
        </w:rPr>
        <w:t xml:space="preserve"> </w:t>
      </w:r>
      <w:r w:rsidR="00670CB5">
        <w:rPr>
          <w:rFonts w:asciiTheme="minorHAnsi" w:hAnsiTheme="minorHAnsi" w:cstheme="minorHAnsi"/>
          <w:sz w:val="22"/>
          <w:szCs w:val="22"/>
        </w:rPr>
        <w:t>Bennett, Kravitz, Krimmel, Paliwal, Weng.</w:t>
      </w:r>
    </w:p>
    <w:p w:rsidR="00403096" w:rsidRDefault="00403096" w:rsidP="00B76649">
      <w:pPr>
        <w:rPr>
          <w:rFonts w:asciiTheme="minorHAnsi" w:hAnsiTheme="minorHAnsi" w:cstheme="minorHAnsi"/>
          <w:b/>
          <w:sz w:val="22"/>
          <w:szCs w:val="22"/>
        </w:rPr>
      </w:pPr>
    </w:p>
    <w:p w:rsidR="0084450A" w:rsidRPr="00500434" w:rsidRDefault="008C12A9" w:rsidP="0084450A">
      <w:pPr>
        <w:rPr>
          <w:rFonts w:asciiTheme="minorHAnsi" w:hAnsiTheme="minorHAnsi" w:cstheme="minorHAnsi"/>
          <w:b/>
          <w:sz w:val="22"/>
          <w:szCs w:val="22"/>
        </w:rPr>
      </w:pPr>
      <w:r>
        <w:rPr>
          <w:rFonts w:asciiTheme="minorHAnsi" w:hAnsiTheme="minorHAnsi" w:cstheme="minorHAnsi"/>
          <w:b/>
          <w:sz w:val="22"/>
          <w:szCs w:val="22"/>
        </w:rPr>
        <w:t>MINUTES</w:t>
      </w:r>
    </w:p>
    <w:p w:rsidR="0084450A" w:rsidRDefault="00DA6CC6" w:rsidP="0084450A">
      <w:pPr>
        <w:rPr>
          <w:rFonts w:asciiTheme="minorHAnsi" w:hAnsiTheme="minorHAnsi" w:cstheme="minorHAnsi"/>
          <w:b/>
          <w:sz w:val="22"/>
          <w:szCs w:val="22"/>
        </w:rPr>
      </w:pPr>
      <w:r>
        <w:rPr>
          <w:rFonts w:asciiTheme="minorHAnsi" w:hAnsiTheme="minorHAnsi" w:cstheme="minorHAnsi"/>
          <w:sz w:val="22"/>
          <w:szCs w:val="22"/>
        </w:rPr>
        <w:t xml:space="preserve">The minutes of the </w:t>
      </w:r>
      <w:r w:rsidR="00670CB5">
        <w:rPr>
          <w:rFonts w:asciiTheme="minorHAnsi" w:hAnsiTheme="minorHAnsi" w:cstheme="minorHAnsi"/>
          <w:sz w:val="22"/>
          <w:szCs w:val="22"/>
        </w:rPr>
        <w:t>2/15/17</w:t>
      </w:r>
      <w:r>
        <w:rPr>
          <w:rFonts w:asciiTheme="minorHAnsi" w:hAnsiTheme="minorHAnsi" w:cstheme="minorHAnsi"/>
          <w:sz w:val="22"/>
          <w:szCs w:val="22"/>
        </w:rPr>
        <w:t xml:space="preserve"> meeting were approved as submitted.</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8C142E" w:rsidRPr="00670CB5" w:rsidRDefault="00670CB5"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The May 8</w:t>
      </w:r>
      <w:r w:rsidRPr="00670CB5">
        <w:rPr>
          <w:rFonts w:asciiTheme="minorHAnsi" w:hAnsiTheme="minorHAnsi" w:cstheme="minorHAnsi"/>
          <w:sz w:val="22"/>
          <w:szCs w:val="22"/>
          <w:vertAlign w:val="superscript"/>
        </w:rPr>
        <w:t>th</w:t>
      </w:r>
      <w:r>
        <w:rPr>
          <w:rFonts w:asciiTheme="minorHAnsi" w:hAnsiTheme="minorHAnsi" w:cstheme="minorHAnsi"/>
          <w:sz w:val="22"/>
          <w:szCs w:val="22"/>
        </w:rPr>
        <w:t xml:space="preserve"> Faculty Senate meeting will be at 9:00 am in EDU 212. It will be followed at 11:00 AM by a talk by invited speaker Timothy Eatman.</w:t>
      </w:r>
    </w:p>
    <w:p w:rsidR="00670CB5" w:rsidRPr="00670CB5" w:rsidRDefault="00670CB5"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The new governance structure and processes document is expected to go into effect next fall. This will affect the college councils.</w:t>
      </w:r>
    </w:p>
    <w:p w:rsidR="00670CB5" w:rsidRPr="00670CB5" w:rsidRDefault="00670CB5" w:rsidP="00DA6CC6">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Congratulations to Dave Prensky who is the new faculty representative on the Board of Trustees.</w:t>
      </w:r>
    </w:p>
    <w:p w:rsidR="00670CB5" w:rsidRPr="00670CB5" w:rsidRDefault="00670CB5" w:rsidP="00670CB5">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Thank you to the senators rotating off Senate and temporary Senators: Lisa LaJevic, David Vickerman, Helen Anthony, Vedrana Krstic, David Blake, David Holleran, and Miriam Shakow.</w:t>
      </w:r>
    </w:p>
    <w:p w:rsidR="00670CB5" w:rsidRPr="00DF21E4" w:rsidRDefault="00670CB5" w:rsidP="00670CB5">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There is an AFT meeting this afternoon at 3:00 pm.</w:t>
      </w:r>
    </w:p>
    <w:p w:rsidR="00DF21E4" w:rsidRPr="00DF21E4" w:rsidRDefault="00DF21E4" w:rsidP="00670CB5">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Kim Pearson posted a thoughtful statement to Faculty-L regarding concern for students with food or housing insecurity. The question is being investigated by Student Affairs, who have put together both short- and long-term plans. If anyone is interested in this issue, Amanda is planning to reach out to Academic Affairs, so please contact her.</w:t>
      </w:r>
    </w:p>
    <w:p w:rsidR="00DF21E4" w:rsidRPr="00670CB5" w:rsidRDefault="00DF21E4" w:rsidP="00DF21E4">
      <w:pPr>
        <w:pStyle w:val="ListParagraph"/>
        <w:numPr>
          <w:ilvl w:val="1"/>
          <w:numId w:val="2"/>
        </w:numPr>
        <w:rPr>
          <w:rFonts w:asciiTheme="minorHAnsi" w:hAnsiTheme="minorHAnsi" w:cstheme="minorHAnsi"/>
          <w:b/>
          <w:sz w:val="22"/>
          <w:szCs w:val="22"/>
        </w:rPr>
      </w:pPr>
      <w:r>
        <w:rPr>
          <w:rFonts w:asciiTheme="minorHAnsi" w:hAnsiTheme="minorHAnsi" w:cstheme="minorHAnsi"/>
          <w:sz w:val="22"/>
          <w:szCs w:val="22"/>
        </w:rPr>
        <w:t>Discussion.</w:t>
      </w:r>
    </w:p>
    <w:p w:rsidR="00DA6CC6" w:rsidRDefault="00DA6CC6" w:rsidP="00DA6CC6">
      <w:pPr>
        <w:pStyle w:val="ListParagraph"/>
        <w:rPr>
          <w:rFonts w:asciiTheme="minorHAnsi" w:hAnsiTheme="minorHAnsi" w:cstheme="minorHAnsi"/>
          <w:b/>
          <w:sz w:val="22"/>
          <w:szCs w:val="22"/>
        </w:rPr>
      </w:pPr>
    </w:p>
    <w:p w:rsidR="007A0787" w:rsidRPr="007A0787" w:rsidRDefault="00DF21E4" w:rsidP="007A0787">
      <w:pPr>
        <w:rPr>
          <w:rFonts w:asciiTheme="minorHAnsi" w:hAnsiTheme="minorHAnsi" w:cstheme="minorHAnsi"/>
          <w:b/>
          <w:sz w:val="22"/>
          <w:szCs w:val="22"/>
        </w:rPr>
      </w:pPr>
      <w:r>
        <w:rPr>
          <w:rFonts w:asciiTheme="minorHAnsi" w:hAnsiTheme="minorHAnsi" w:cstheme="minorHAnsi"/>
          <w:b/>
          <w:sz w:val="22"/>
          <w:szCs w:val="22"/>
        </w:rPr>
        <w:t>BUDGET PRESENTATION – PROVOST TAYLOR AND TREASURER RICKETTS</w:t>
      </w:r>
    </w:p>
    <w:p w:rsidR="00DF21E4" w:rsidRDefault="00DF21E4"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Provost Taylor and Treasurer Ricketts gave their annual budget presentation.</w:t>
      </w:r>
    </w:p>
    <w:p w:rsidR="00C835D6" w:rsidRPr="0024734D" w:rsidRDefault="00DF21E4"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Discussion and questions.</w:t>
      </w:r>
      <w:r w:rsidR="009D3CEB" w:rsidRPr="0024734D">
        <w:rPr>
          <w:rFonts w:asciiTheme="minorHAnsi" w:hAnsiTheme="minorHAnsi" w:cstheme="minorHAnsi"/>
          <w:sz w:val="22"/>
          <w:szCs w:val="22"/>
        </w:rPr>
        <w:br/>
      </w:r>
    </w:p>
    <w:p w:rsidR="00694989" w:rsidRPr="00694989" w:rsidRDefault="00DF21E4" w:rsidP="00694989">
      <w:pPr>
        <w:rPr>
          <w:rFonts w:asciiTheme="minorHAnsi" w:hAnsiTheme="minorHAnsi" w:cstheme="minorHAnsi"/>
          <w:b/>
          <w:sz w:val="22"/>
          <w:szCs w:val="22"/>
        </w:rPr>
      </w:pPr>
      <w:r>
        <w:rPr>
          <w:rFonts w:asciiTheme="minorHAnsi" w:hAnsiTheme="minorHAnsi" w:cstheme="minorHAnsi"/>
          <w:b/>
          <w:sz w:val="22"/>
          <w:szCs w:val="22"/>
        </w:rPr>
        <w:t>CAP PROPOSALS – KAREN CLARK</w:t>
      </w:r>
    </w:p>
    <w:p w:rsidR="00694989" w:rsidRDefault="00DF21E4" w:rsidP="00DF21E4">
      <w:pPr>
        <w:pStyle w:val="ListParagraph"/>
        <w:numPr>
          <w:ilvl w:val="0"/>
          <w:numId w:val="28"/>
        </w:numPr>
        <w:rPr>
          <w:rFonts w:asciiTheme="minorHAnsi" w:hAnsiTheme="minorHAnsi" w:cstheme="minorHAnsi"/>
          <w:sz w:val="22"/>
          <w:szCs w:val="22"/>
        </w:rPr>
      </w:pPr>
      <w:r w:rsidRPr="00DF21E4">
        <w:rPr>
          <w:rFonts w:asciiTheme="minorHAnsi" w:hAnsiTheme="minorHAnsi" w:cstheme="minorHAnsi"/>
          <w:sz w:val="22"/>
          <w:szCs w:val="22"/>
        </w:rPr>
        <w:t>Karen C</w:t>
      </w:r>
      <w:r>
        <w:rPr>
          <w:rFonts w:asciiTheme="minorHAnsi" w:hAnsiTheme="minorHAnsi" w:cstheme="minorHAnsi"/>
          <w:sz w:val="22"/>
          <w:szCs w:val="22"/>
        </w:rPr>
        <w:t>lark reviewed 2 policy proposals from CAP:</w:t>
      </w:r>
    </w:p>
    <w:p w:rsidR="00DF21E4" w:rsidRDefault="00DF21E4" w:rsidP="00DF21E4">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Student Complaint Policy</w:t>
      </w:r>
    </w:p>
    <w:p w:rsidR="00DF21E4" w:rsidRDefault="00DF21E4" w:rsidP="00DF21E4">
      <w:pPr>
        <w:pStyle w:val="ListParagraph"/>
        <w:numPr>
          <w:ilvl w:val="2"/>
          <w:numId w:val="28"/>
        </w:numPr>
        <w:rPr>
          <w:rFonts w:asciiTheme="minorHAnsi" w:hAnsiTheme="minorHAnsi" w:cstheme="minorHAnsi"/>
          <w:sz w:val="22"/>
          <w:szCs w:val="22"/>
        </w:rPr>
      </w:pPr>
      <w:r>
        <w:rPr>
          <w:rFonts w:asciiTheme="minorHAnsi" w:hAnsiTheme="minorHAnsi" w:cstheme="minorHAnsi"/>
          <w:sz w:val="22"/>
          <w:szCs w:val="22"/>
        </w:rPr>
        <w:t>CAP is looking for testimony on this.</w:t>
      </w:r>
    </w:p>
    <w:p w:rsidR="00DF21E4" w:rsidRDefault="00DF21E4" w:rsidP="00DF21E4">
      <w:pPr>
        <w:pStyle w:val="ListParagraph"/>
        <w:numPr>
          <w:ilvl w:val="2"/>
          <w:numId w:val="28"/>
        </w:numPr>
        <w:rPr>
          <w:rFonts w:asciiTheme="minorHAnsi" w:hAnsiTheme="minorHAnsi" w:cstheme="minorHAnsi"/>
          <w:sz w:val="22"/>
          <w:szCs w:val="22"/>
        </w:rPr>
      </w:pPr>
      <w:r>
        <w:rPr>
          <w:rFonts w:asciiTheme="minorHAnsi" w:hAnsiTheme="minorHAnsi" w:cstheme="minorHAnsi"/>
          <w:sz w:val="22"/>
          <w:szCs w:val="22"/>
        </w:rPr>
        <w:t>Discussion.</w:t>
      </w:r>
    </w:p>
    <w:p w:rsidR="00DF21E4" w:rsidRDefault="00DF21E4" w:rsidP="00DF21E4">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Change of Major Policy.</w:t>
      </w:r>
    </w:p>
    <w:p w:rsidR="008378EC" w:rsidRPr="00DF21E4" w:rsidRDefault="00DF21E4" w:rsidP="00694989">
      <w:pPr>
        <w:pStyle w:val="ListParagraph"/>
        <w:numPr>
          <w:ilvl w:val="2"/>
          <w:numId w:val="28"/>
        </w:numPr>
        <w:rPr>
          <w:rFonts w:asciiTheme="minorHAnsi" w:hAnsiTheme="minorHAnsi" w:cstheme="minorHAnsi"/>
          <w:sz w:val="22"/>
          <w:szCs w:val="22"/>
        </w:rPr>
      </w:pPr>
      <w:r>
        <w:rPr>
          <w:rFonts w:asciiTheme="minorHAnsi" w:hAnsiTheme="minorHAnsi" w:cstheme="minorHAnsi"/>
          <w:sz w:val="22"/>
          <w:szCs w:val="22"/>
        </w:rPr>
        <w:t>Discussion.</w:t>
      </w:r>
    </w:p>
    <w:p w:rsidR="00C72862" w:rsidRPr="00C72862" w:rsidRDefault="00C72862" w:rsidP="00C72862">
      <w:pPr>
        <w:ind w:left="360"/>
        <w:rPr>
          <w:rFonts w:asciiTheme="minorHAnsi" w:hAnsiTheme="minorHAnsi" w:cstheme="minorHAnsi"/>
          <w:sz w:val="22"/>
          <w:szCs w:val="22"/>
        </w:rPr>
      </w:pPr>
    </w:p>
    <w:p w:rsidR="00450DA5" w:rsidRDefault="00450DA5" w:rsidP="00450DA5">
      <w:pPr>
        <w:rPr>
          <w:rFonts w:asciiTheme="minorHAnsi" w:hAnsiTheme="minorHAnsi" w:cstheme="minorHAnsi"/>
          <w:b/>
          <w:sz w:val="22"/>
          <w:szCs w:val="22"/>
        </w:rPr>
      </w:pPr>
      <w:r>
        <w:rPr>
          <w:rFonts w:asciiTheme="minorHAnsi" w:hAnsiTheme="minorHAnsi" w:cstheme="minorHAnsi"/>
          <w:b/>
          <w:sz w:val="22"/>
          <w:szCs w:val="22"/>
        </w:rPr>
        <w:t>REPORTS FROM STANDING COMMITTEES</w:t>
      </w:r>
    </w:p>
    <w:p w:rsidR="00450DA5" w:rsidRDefault="00450DA5"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All reports w</w:t>
      </w:r>
      <w:r w:rsidR="00DF21E4">
        <w:rPr>
          <w:rFonts w:asciiTheme="minorHAnsi" w:hAnsiTheme="minorHAnsi" w:cstheme="minorHAnsi"/>
          <w:sz w:val="22"/>
          <w:szCs w:val="22"/>
        </w:rPr>
        <w:t>ill be</w:t>
      </w:r>
      <w:r>
        <w:rPr>
          <w:rFonts w:asciiTheme="minorHAnsi" w:hAnsiTheme="minorHAnsi" w:cstheme="minorHAnsi"/>
          <w:sz w:val="22"/>
          <w:szCs w:val="22"/>
        </w:rPr>
        <w:t xml:space="preserve"> emailed to the senate members </w:t>
      </w:r>
      <w:r w:rsidRPr="0024734D">
        <w:rPr>
          <w:rFonts w:asciiTheme="minorHAnsi" w:hAnsiTheme="minorHAnsi" w:cstheme="minorHAnsi"/>
          <w:b/>
          <w:sz w:val="22"/>
          <w:szCs w:val="22"/>
        </w:rPr>
        <w:t>(Attachment</w:t>
      </w:r>
      <w:r w:rsidR="00697FE9">
        <w:rPr>
          <w:rFonts w:asciiTheme="minorHAnsi" w:hAnsiTheme="minorHAnsi" w:cstheme="minorHAnsi"/>
          <w:b/>
          <w:sz w:val="22"/>
          <w:szCs w:val="22"/>
        </w:rPr>
        <w:t xml:space="preserve"> </w:t>
      </w:r>
      <w:r w:rsidR="00DF21E4">
        <w:rPr>
          <w:rFonts w:asciiTheme="minorHAnsi" w:hAnsiTheme="minorHAnsi" w:cstheme="minorHAnsi"/>
          <w:b/>
          <w:sz w:val="22"/>
          <w:szCs w:val="22"/>
        </w:rPr>
        <w:t>1</w:t>
      </w:r>
      <w:r>
        <w:rPr>
          <w:rFonts w:asciiTheme="minorHAnsi" w:hAnsiTheme="minorHAnsi" w:cstheme="minorHAnsi"/>
          <w:b/>
          <w:sz w:val="22"/>
          <w:szCs w:val="22"/>
        </w:rPr>
        <w:t>)</w:t>
      </w:r>
    </w:p>
    <w:p w:rsidR="00450DA5" w:rsidRPr="00262BE6" w:rsidRDefault="00450DA5" w:rsidP="00450DA5">
      <w:pPr>
        <w:pStyle w:val="ListParagraph"/>
        <w:rPr>
          <w:rFonts w:asciiTheme="minorHAnsi" w:hAnsiTheme="minorHAnsi" w:cstheme="minorHAnsi"/>
          <w:sz w:val="22"/>
          <w:szCs w:val="22"/>
        </w:rPr>
      </w:pPr>
    </w:p>
    <w:p w:rsidR="00450DA5" w:rsidRPr="00B1718C" w:rsidRDefault="00450DA5" w:rsidP="00450DA5">
      <w:pPr>
        <w:rPr>
          <w:rFonts w:asciiTheme="minorHAnsi" w:hAnsiTheme="minorHAnsi" w:cstheme="minorHAnsi"/>
          <w:sz w:val="22"/>
          <w:szCs w:val="22"/>
        </w:rPr>
      </w:pPr>
    </w:p>
    <w:p w:rsidR="00450DA5" w:rsidRDefault="00450DA5" w:rsidP="00450DA5">
      <w:pPr>
        <w:rPr>
          <w:rFonts w:asciiTheme="minorHAnsi" w:hAnsiTheme="minorHAnsi" w:cstheme="minorHAnsi"/>
          <w:b/>
          <w:sz w:val="22"/>
          <w:szCs w:val="22"/>
        </w:rPr>
      </w:pPr>
      <w:r>
        <w:rPr>
          <w:rFonts w:asciiTheme="minorHAnsi" w:hAnsiTheme="minorHAnsi" w:cstheme="minorHAnsi"/>
          <w:b/>
          <w:sz w:val="22"/>
          <w:szCs w:val="22"/>
        </w:rPr>
        <w:t>TRUSTEES REPORT</w:t>
      </w:r>
    </w:p>
    <w:p w:rsidR="00450DA5" w:rsidRDefault="00DF21E4" w:rsidP="00450DA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Will be emailed to the senate members. </w:t>
      </w:r>
      <w:r w:rsidRPr="00DF21E4">
        <w:rPr>
          <w:rFonts w:asciiTheme="minorHAnsi" w:hAnsiTheme="minorHAnsi" w:cstheme="minorHAnsi"/>
          <w:b/>
          <w:sz w:val="22"/>
          <w:szCs w:val="22"/>
        </w:rPr>
        <w:t xml:space="preserve">(Attachment </w:t>
      </w:r>
      <w:r>
        <w:rPr>
          <w:rFonts w:asciiTheme="minorHAnsi" w:hAnsiTheme="minorHAnsi" w:cstheme="minorHAnsi"/>
          <w:b/>
          <w:sz w:val="22"/>
          <w:szCs w:val="22"/>
        </w:rPr>
        <w:t>2</w:t>
      </w:r>
      <w:r w:rsidRPr="00DF21E4">
        <w:rPr>
          <w:rFonts w:asciiTheme="minorHAnsi" w:hAnsiTheme="minorHAnsi" w:cstheme="minorHAnsi"/>
          <w:b/>
          <w:sz w:val="22"/>
          <w:szCs w:val="22"/>
        </w:rPr>
        <w:t>)</w:t>
      </w:r>
    </w:p>
    <w:p w:rsidR="00B30B17" w:rsidRDefault="00B30B17" w:rsidP="00F34435">
      <w:pPr>
        <w:rPr>
          <w:rFonts w:asciiTheme="minorHAnsi" w:hAnsiTheme="minorHAnsi" w:cstheme="minorHAnsi"/>
          <w:b/>
          <w:sz w:val="22"/>
          <w:szCs w:val="22"/>
        </w:rPr>
      </w:pPr>
    </w:p>
    <w:p w:rsidR="00DF21E4" w:rsidRDefault="00DF21E4" w:rsidP="00F34435">
      <w:pPr>
        <w:rPr>
          <w:rFonts w:asciiTheme="minorHAnsi" w:hAnsiTheme="minorHAnsi" w:cstheme="minorHAnsi"/>
          <w:b/>
          <w:sz w:val="22"/>
          <w:szCs w:val="22"/>
        </w:rPr>
      </w:pPr>
    </w:p>
    <w:p w:rsidR="00DF21E4" w:rsidRDefault="00DF21E4" w:rsidP="00F34435">
      <w:pPr>
        <w:rPr>
          <w:rFonts w:asciiTheme="minorHAnsi" w:hAnsiTheme="minorHAnsi" w:cstheme="minorHAnsi"/>
          <w:b/>
          <w:sz w:val="22"/>
          <w:szCs w:val="22"/>
        </w:rPr>
      </w:pPr>
    </w:p>
    <w:p w:rsidR="009D3CEB" w:rsidRDefault="009D3CEB"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DD4162" w:rsidRDefault="00C72862"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There was no AFT report.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EC2839">
        <w:rPr>
          <w:rFonts w:asciiTheme="minorHAnsi" w:hAnsiTheme="minorHAnsi" w:cstheme="minorHAnsi"/>
          <w:sz w:val="22"/>
          <w:szCs w:val="22"/>
        </w:rPr>
        <w:t>1:2</w:t>
      </w:r>
      <w:r w:rsidR="00DF21E4">
        <w:rPr>
          <w:rFonts w:asciiTheme="minorHAnsi" w:hAnsiTheme="minorHAnsi" w:cstheme="minorHAnsi"/>
          <w:sz w:val="22"/>
          <w:szCs w:val="22"/>
        </w:rPr>
        <w:t>0</w:t>
      </w:r>
      <w:r w:rsidR="00745D40">
        <w:rPr>
          <w:rFonts w:asciiTheme="minorHAnsi" w:hAnsiTheme="minorHAnsi" w:cstheme="minorHAnsi"/>
          <w:sz w:val="22"/>
          <w:szCs w:val="22"/>
        </w:rPr>
        <w:t xml:space="preserve"> </w:t>
      </w:r>
      <w:r w:rsidR="00937B07">
        <w:rPr>
          <w:rFonts w:asciiTheme="minorHAnsi" w:hAnsiTheme="minorHAnsi" w:cstheme="minorHAnsi"/>
          <w:sz w:val="22"/>
          <w:szCs w:val="22"/>
        </w:rPr>
        <w:t>p</w:t>
      </w:r>
      <w:r w:rsidR="00745D40">
        <w:rPr>
          <w:rFonts w:asciiTheme="minorHAnsi" w:hAnsiTheme="minorHAnsi" w:cstheme="minorHAnsi"/>
          <w:sz w:val="22"/>
          <w:szCs w:val="22"/>
        </w:rPr>
        <w:t>m.</w:t>
      </w:r>
    </w:p>
    <w:p w:rsidR="000454BD" w:rsidRDefault="000454BD">
      <w:pPr>
        <w:rPr>
          <w:rFonts w:asciiTheme="minorHAnsi" w:hAnsiTheme="minorHAnsi" w:cstheme="minorHAnsi"/>
          <w:sz w:val="22"/>
          <w:szCs w:val="22"/>
        </w:rPr>
      </w:pPr>
      <w:r>
        <w:rPr>
          <w:rFonts w:asciiTheme="minorHAnsi" w:hAnsiTheme="minorHAnsi" w:cstheme="minorHAnsi"/>
          <w:sz w:val="22"/>
          <w:szCs w:val="22"/>
        </w:rPr>
        <w:br w:type="page"/>
      </w:r>
    </w:p>
    <w:p w:rsidR="000A127A" w:rsidRDefault="000454BD" w:rsidP="00E75516">
      <w:pPr>
        <w:rPr>
          <w:rFonts w:ascii="Calibri" w:eastAsia="Calibri" w:hAnsi="Calibri"/>
          <w:b/>
        </w:rPr>
      </w:pPr>
      <w:r w:rsidRPr="00C72862">
        <w:rPr>
          <w:rFonts w:asciiTheme="minorHAnsi" w:hAnsiTheme="minorHAnsi" w:cstheme="minorHAnsi"/>
          <w:b/>
          <w:sz w:val="28"/>
          <w:szCs w:val="28"/>
        </w:rPr>
        <w:lastRenderedPageBreak/>
        <w:t>Attachment 1</w:t>
      </w:r>
    </w:p>
    <w:p w:rsidR="00E75516" w:rsidRDefault="00E75516" w:rsidP="00E75516">
      <w:pPr>
        <w:rPr>
          <w:rFonts w:ascii="Calibri" w:eastAsia="Calibri" w:hAnsi="Calibri"/>
          <w:b/>
        </w:rPr>
      </w:pPr>
    </w:p>
    <w:p w:rsidR="00E75516" w:rsidRDefault="00E75516" w:rsidP="00E75516">
      <w:pPr>
        <w:rPr>
          <w:rFonts w:ascii="Calibri" w:eastAsia="Calibri" w:hAnsi="Calibri"/>
          <w:b/>
        </w:rPr>
      </w:pPr>
      <w:r>
        <w:rPr>
          <w:rFonts w:ascii="Calibri" w:eastAsia="Calibri" w:hAnsi="Calibri"/>
          <w:b/>
        </w:rPr>
        <w:t>CAP Report</w:t>
      </w:r>
    </w:p>
    <w:p w:rsidR="00B66A03" w:rsidRDefault="00B66A03" w:rsidP="00B66A03">
      <w:r>
        <w:t>We discussed four things at our recent meeting - </w:t>
      </w:r>
      <w:r>
        <w:br/>
      </w:r>
    </w:p>
    <w:p w:rsidR="00B66A03" w:rsidRDefault="00B66A03" w:rsidP="00B66A03">
      <w:r>
        <w:t>1. Bulletin Year of Record Policy - made some edits and voted, that is ready to go. It is an update of the previous policy, but it was a substantial update, so even though we weren't charged to get testimony, the committee felt that maybe that should happen. </w:t>
      </w:r>
    </w:p>
    <w:p w:rsidR="00B66A03" w:rsidRDefault="00B66A03" w:rsidP="00B66A03"/>
    <w:p w:rsidR="00B66A03" w:rsidRDefault="00B66A03" w:rsidP="00B66A03">
      <w:r>
        <w:t>2. Cross Listing of Courses Policy - we discussed the updated policy briefly but didn't finish. We shall discuss it at our next meeting.</w:t>
      </w:r>
      <w:r>
        <w:br/>
      </w:r>
    </w:p>
    <w:p w:rsidR="00B66A03" w:rsidRDefault="00B66A03" w:rsidP="00B66A03">
      <w:r>
        <w:t>3. Masters in Public Health - we were charged with determining if all parties were consulted. It was felt that the departments of Sociology &amp; Anthropology and Psychology should be consulted - their department chair signatures weren't on the document we got with the others, but the proposal had faculty from those departments teaching the courses. </w:t>
      </w:r>
      <w:r>
        <w:br/>
      </w:r>
    </w:p>
    <w:p w:rsidR="00B66A03" w:rsidRDefault="00B66A03" w:rsidP="00B66A03">
      <w:r>
        <w:t>4. Minor in IST - we were charged with determining if all parties were consulted. It was agreed that the departments of Computer Science and IMM should be informed, as this new minor may im</w:t>
      </w:r>
      <w:r>
        <w:t>pact students in those minors.</w:t>
      </w:r>
      <w:r>
        <w:br/>
      </w:r>
    </w:p>
    <w:p w:rsidR="00B66A03" w:rsidRDefault="00B66A03" w:rsidP="00B66A03">
      <w:r>
        <w:t>Pending issues for the next meeting -</w:t>
      </w:r>
      <w:r>
        <w:br/>
      </w:r>
    </w:p>
    <w:p w:rsidR="00B66A03" w:rsidRDefault="00B66A03" w:rsidP="00B66A03">
      <w:r>
        <w:t>1. Learning assistants - subcommittee recommendations shall be discussed for feedback. </w:t>
      </w:r>
      <w:r>
        <w:br/>
      </w:r>
    </w:p>
    <w:p w:rsidR="00B66A03" w:rsidRDefault="00B66A03" w:rsidP="00B66A03">
      <w:r>
        <w:t>2. Student Complaint Policy - we're still getting testimony, but no major changes anticipated. </w:t>
      </w:r>
      <w:r>
        <w:br/>
      </w:r>
    </w:p>
    <w:p w:rsidR="00B66A03" w:rsidRDefault="00B66A03" w:rsidP="00B66A03">
      <w:r>
        <w:t>3. Change of  Major - we're getting testimony. We shall discuss them. Some may be substantial. </w:t>
      </w:r>
      <w:r>
        <w:br/>
      </w:r>
    </w:p>
    <w:p w:rsidR="00B66A03" w:rsidRDefault="00B66A03" w:rsidP="00B66A03">
      <w:r>
        <w:t>4. Definition of Interdisciplinary Minor - subcommittee recommendations shall be discussed for feedback</w:t>
      </w:r>
      <w:bookmarkStart w:id="0" w:name="_GoBack"/>
      <w:bookmarkEnd w:id="0"/>
      <w:r>
        <w:br/>
      </w:r>
    </w:p>
    <w:p w:rsidR="00E75516" w:rsidRDefault="00B66A03" w:rsidP="00B66A03">
      <w:pPr>
        <w:rPr>
          <w:rFonts w:ascii="Calibri" w:eastAsia="Calibri" w:hAnsi="Calibri"/>
          <w:b/>
        </w:rPr>
      </w:pPr>
      <w:r>
        <w:t>5. Cross Listing of Courses policy shall be discussed. </w:t>
      </w:r>
    </w:p>
    <w:p w:rsidR="00E75516" w:rsidRDefault="00E75516">
      <w:pPr>
        <w:rPr>
          <w:rFonts w:ascii="Calibri" w:eastAsia="Calibri" w:hAnsi="Calibri"/>
          <w:b/>
        </w:rPr>
      </w:pPr>
      <w:r>
        <w:rPr>
          <w:rFonts w:ascii="Calibri" w:eastAsia="Calibri" w:hAnsi="Calibri"/>
          <w:b/>
        </w:rPr>
        <w:br w:type="page"/>
      </w:r>
    </w:p>
    <w:p w:rsidR="00E75516" w:rsidRPr="000A127A" w:rsidRDefault="00E75516" w:rsidP="00E75516">
      <w:pPr>
        <w:rPr>
          <w:rFonts w:asciiTheme="minorHAnsi" w:hAnsiTheme="minorHAnsi" w:cstheme="minorHAnsi"/>
          <w:sz w:val="22"/>
          <w:szCs w:val="22"/>
        </w:rPr>
      </w:pPr>
    </w:p>
    <w:p w:rsidR="00E75516" w:rsidRPr="00E75516" w:rsidRDefault="00E75516" w:rsidP="00E75516">
      <w:pPr>
        <w:rPr>
          <w:rFonts w:asciiTheme="minorHAnsi" w:hAnsiTheme="minorHAnsi" w:cstheme="minorHAnsi"/>
          <w:b/>
          <w:sz w:val="22"/>
          <w:szCs w:val="22"/>
        </w:rPr>
      </w:pPr>
      <w:r w:rsidRPr="00E75516">
        <w:rPr>
          <w:rFonts w:asciiTheme="minorHAnsi" w:hAnsiTheme="minorHAnsi" w:cstheme="minorHAnsi"/>
          <w:b/>
          <w:sz w:val="22"/>
          <w:szCs w:val="22"/>
        </w:rPr>
        <w:t>CFA Report to the Faculty Senate, 4/19/17</w:t>
      </w:r>
    </w:p>
    <w:p w:rsidR="00E75516" w:rsidRPr="00E75516" w:rsidRDefault="00E75516" w:rsidP="00E75516">
      <w:pPr>
        <w:rPr>
          <w:rFonts w:asciiTheme="minorHAnsi" w:hAnsiTheme="minorHAnsi" w:cstheme="minorHAnsi"/>
          <w:sz w:val="22"/>
          <w:szCs w:val="22"/>
        </w:rPr>
      </w:pPr>
      <w:r w:rsidRPr="00E75516">
        <w:rPr>
          <w:rFonts w:asciiTheme="minorHAnsi" w:hAnsiTheme="minorHAnsi" w:cstheme="minorHAnsi"/>
          <w:sz w:val="22"/>
          <w:szCs w:val="22"/>
        </w:rPr>
        <w:t xml:space="preserve">CFA held four meetings (2/22, 3/8, 3/22, 4/12) since the last Faculty Senate meeting. </w:t>
      </w:r>
    </w:p>
    <w:p w:rsidR="00E75516" w:rsidRPr="00E75516" w:rsidRDefault="00E75516" w:rsidP="00E75516">
      <w:pPr>
        <w:numPr>
          <w:ilvl w:val="0"/>
          <w:numId w:val="22"/>
        </w:numPr>
        <w:rPr>
          <w:rFonts w:asciiTheme="minorHAnsi" w:hAnsiTheme="minorHAnsi" w:cstheme="minorHAnsi"/>
          <w:sz w:val="22"/>
          <w:szCs w:val="22"/>
        </w:rPr>
      </w:pPr>
      <w:r w:rsidRPr="00E75516">
        <w:rPr>
          <w:rFonts w:asciiTheme="minorHAnsi" w:hAnsiTheme="minorHAnsi" w:cstheme="minorHAnsi"/>
          <w:sz w:val="22"/>
          <w:szCs w:val="22"/>
        </w:rPr>
        <w:t xml:space="preserve">Finalized recommendation on the Disciplinary Standards Policy – this policy document has been sent back to Steering </w:t>
      </w:r>
    </w:p>
    <w:p w:rsidR="00E75516" w:rsidRPr="00E75516" w:rsidRDefault="00E75516" w:rsidP="00E75516">
      <w:pPr>
        <w:numPr>
          <w:ilvl w:val="0"/>
          <w:numId w:val="22"/>
        </w:numPr>
        <w:rPr>
          <w:rFonts w:asciiTheme="minorHAnsi" w:hAnsiTheme="minorHAnsi" w:cstheme="minorHAnsi"/>
          <w:sz w:val="22"/>
          <w:szCs w:val="22"/>
        </w:rPr>
      </w:pPr>
      <w:r w:rsidRPr="00E75516">
        <w:rPr>
          <w:rFonts w:asciiTheme="minorHAnsi" w:hAnsiTheme="minorHAnsi" w:cstheme="minorHAnsi"/>
          <w:sz w:val="22"/>
          <w:szCs w:val="22"/>
        </w:rPr>
        <w:t>Continued review of departmental/program Disciplinary Standards: Mechanical Engineering</w:t>
      </w:r>
    </w:p>
    <w:p w:rsidR="00E75516" w:rsidRPr="00E75516" w:rsidRDefault="00E75516" w:rsidP="00E75516">
      <w:pPr>
        <w:numPr>
          <w:ilvl w:val="0"/>
          <w:numId w:val="22"/>
        </w:numPr>
        <w:rPr>
          <w:rFonts w:asciiTheme="minorHAnsi" w:hAnsiTheme="minorHAnsi" w:cstheme="minorHAnsi"/>
          <w:sz w:val="22"/>
          <w:szCs w:val="22"/>
        </w:rPr>
      </w:pPr>
      <w:r w:rsidRPr="00E75516">
        <w:rPr>
          <w:rFonts w:asciiTheme="minorHAnsi" w:hAnsiTheme="minorHAnsi" w:cstheme="minorHAnsi"/>
          <w:sz w:val="22"/>
          <w:szCs w:val="22"/>
        </w:rPr>
        <w:t xml:space="preserve">Finished first pass at addressing the comments Provost Taylor made regarding the Reappointment and Promotion Document. Focused on enforcement of deadlines, early tenure policy, the composition of departmental promotion committees, the inclusion of a list of service activities for faculty promotion (for parity with the section for librarians), and modifying the document to align with the current TCNJ mission statement. An open forum regarding these changes was held on 4/12. The main feedback we received there was regarding the language in the document related to the composition of the College Promotions and Tenure Committee, and the policy that Dean’s do not get to know the identity of external reviewers. </w:t>
      </w:r>
    </w:p>
    <w:p w:rsidR="00E75516" w:rsidRPr="00E75516" w:rsidRDefault="00E75516" w:rsidP="00E75516">
      <w:pPr>
        <w:numPr>
          <w:ilvl w:val="0"/>
          <w:numId w:val="22"/>
        </w:numPr>
        <w:rPr>
          <w:rFonts w:asciiTheme="minorHAnsi" w:hAnsiTheme="minorHAnsi" w:cstheme="minorHAnsi"/>
          <w:sz w:val="22"/>
          <w:szCs w:val="22"/>
        </w:rPr>
      </w:pPr>
      <w:r w:rsidRPr="00E75516">
        <w:rPr>
          <w:rFonts w:asciiTheme="minorHAnsi" w:hAnsiTheme="minorHAnsi" w:cstheme="minorHAnsi"/>
          <w:sz w:val="22"/>
          <w:szCs w:val="22"/>
        </w:rPr>
        <w:t>Reviewed and voted on RFP for 2018-2019 Sabbatical Leave Program</w:t>
      </w:r>
    </w:p>
    <w:p w:rsidR="00E75516" w:rsidRPr="00E75516" w:rsidRDefault="00E75516" w:rsidP="00E75516">
      <w:pPr>
        <w:numPr>
          <w:ilvl w:val="0"/>
          <w:numId w:val="22"/>
        </w:numPr>
        <w:rPr>
          <w:rFonts w:asciiTheme="minorHAnsi" w:hAnsiTheme="minorHAnsi" w:cstheme="minorHAnsi"/>
          <w:sz w:val="22"/>
          <w:szCs w:val="22"/>
        </w:rPr>
      </w:pPr>
      <w:r w:rsidRPr="00E75516">
        <w:rPr>
          <w:rFonts w:asciiTheme="minorHAnsi" w:hAnsiTheme="minorHAnsi" w:cstheme="minorHAnsi"/>
          <w:sz w:val="22"/>
          <w:szCs w:val="22"/>
        </w:rPr>
        <w:t xml:space="preserve">Reviewed proposal from and gave feedback to the SOSA Committee about changes to SOSA CV requirements, and revising the policy on feedback for SOSA applicants. An open forum regarding these changes was held on 4/12. The main discussion points were the new system for giving feedback to applicants, and the proposed limitation of only including the past 10 years on one’s CV. </w:t>
      </w:r>
    </w:p>
    <w:p w:rsidR="00E75516" w:rsidRDefault="00E75516">
      <w:pPr>
        <w:rPr>
          <w:rFonts w:asciiTheme="minorHAnsi" w:hAnsiTheme="minorHAnsi" w:cstheme="minorHAnsi"/>
          <w:sz w:val="22"/>
          <w:szCs w:val="22"/>
        </w:rPr>
      </w:pPr>
      <w:r>
        <w:rPr>
          <w:rFonts w:asciiTheme="minorHAnsi" w:hAnsiTheme="minorHAnsi" w:cstheme="minorHAnsi"/>
          <w:sz w:val="22"/>
          <w:szCs w:val="22"/>
        </w:rPr>
        <w:br w:type="page"/>
      </w:r>
    </w:p>
    <w:p w:rsidR="00E75516" w:rsidRPr="00E75516" w:rsidRDefault="00E75516" w:rsidP="00E75516">
      <w:pPr>
        <w:rPr>
          <w:b/>
        </w:rPr>
      </w:pPr>
      <w:r w:rsidRPr="00E75516">
        <w:rPr>
          <w:b/>
        </w:rPr>
        <w:lastRenderedPageBreak/>
        <w:t>Committee on Strategic Plans and Priorities</w:t>
      </w:r>
    </w:p>
    <w:p w:rsidR="00E75516" w:rsidRDefault="00E75516" w:rsidP="00E75516"/>
    <w:p w:rsidR="00E75516" w:rsidRPr="00753322" w:rsidRDefault="00E75516" w:rsidP="00E75516">
      <w:r>
        <w:t xml:space="preserve">CSPP has met several times since the February 2017 faculty-senate meeting.  The Committee reviewed preliminary proposals for the 2017-2018 Signature Experiences and Strategic Initiative grants.  These grants will award a total of $100,000 for programs designed to strengthen Signature Experiences and $250,000 for those that respond to the College’s Strategic Initiatives.  CSPP encourages faculty to collaborate on proposals for the Fall 2017, especially for programs designed to advance the Signature Experiences. CSPP met with Lisa Angeloni, TCNJ’s </w:t>
      </w:r>
      <w:r w:rsidRPr="00092D1F">
        <w:t xml:space="preserve">Vice President for </w:t>
      </w:r>
      <w:r>
        <w:t xml:space="preserve">Enrollment Management, to get updates about key developments in admissions and enrollment management.  It also met with Curt Heuring, TCNJ’s Vice President for Administration, who reviewed updates to the campus building plan, especially the planned renovations to Travers-Wolfe.   The last two meetings of the year will include a budget presentation by Lloyd Ricketts, Treasurer and Vice President, and a discussion of </w:t>
      </w:r>
      <w:r w:rsidRPr="00753322">
        <w:t>the strategic funding full proposals.</w:t>
      </w:r>
    </w:p>
    <w:p w:rsidR="00E75516" w:rsidRDefault="00E75516" w:rsidP="00E75516">
      <w:r>
        <w:t xml:space="preserve">  </w:t>
      </w:r>
    </w:p>
    <w:p w:rsidR="00E75516" w:rsidRDefault="00E75516" w:rsidP="00E75516"/>
    <w:p w:rsidR="00E75516" w:rsidRDefault="00E75516" w:rsidP="00E75516">
      <w:r>
        <w:t>Submitted, David Blake, Department of English</w:t>
      </w:r>
    </w:p>
    <w:p w:rsidR="00E75516" w:rsidRDefault="00E75516" w:rsidP="00E75516">
      <w:r>
        <w:t>19 April 2017</w:t>
      </w:r>
    </w:p>
    <w:p w:rsidR="00E75516" w:rsidRDefault="00E75516">
      <w:pPr>
        <w:rPr>
          <w:rFonts w:asciiTheme="minorHAnsi" w:hAnsiTheme="minorHAnsi" w:cstheme="minorHAnsi"/>
          <w:sz w:val="22"/>
          <w:szCs w:val="22"/>
        </w:rPr>
      </w:pPr>
      <w:r>
        <w:rPr>
          <w:rFonts w:asciiTheme="minorHAnsi" w:hAnsiTheme="minorHAnsi" w:cstheme="minorHAnsi"/>
          <w:sz w:val="22"/>
          <w:szCs w:val="22"/>
        </w:rPr>
        <w:br w:type="page"/>
      </w:r>
    </w:p>
    <w:p w:rsidR="00E75516" w:rsidRPr="00E75516" w:rsidRDefault="00E75516" w:rsidP="00E75516">
      <w:pPr>
        <w:rPr>
          <w:b/>
        </w:rPr>
      </w:pPr>
      <w:r w:rsidRPr="00E75516">
        <w:rPr>
          <w:b/>
        </w:rPr>
        <w:lastRenderedPageBreak/>
        <w:t>CSCC Report for April 19 Faculty Senate Meeting</w:t>
      </w:r>
    </w:p>
    <w:p w:rsidR="00E75516" w:rsidRDefault="00E75516" w:rsidP="00E75516">
      <w:r>
        <w:t>Glenn Steinberg</w:t>
      </w:r>
    </w:p>
    <w:p w:rsidR="00E75516" w:rsidRPr="00EE5FBD" w:rsidRDefault="00E75516" w:rsidP="00E75516"/>
    <w:p w:rsidR="00E75516" w:rsidRDefault="00E75516" w:rsidP="00E75516">
      <w:r w:rsidRPr="00EE5FBD">
        <w:t>A revision of the Protection of Children Policy is complete and has been submitted to Steering.  The CSCC is in the final stages of reviewing the Student Travel Policy (drafted by Gary Miller, TCNJ's Chief Compliance Officer) before holding open forums on the policy.  A revision of the Involuntary Healthy or Safety Withdrawal Policy is under way but still incomplete (drafted by Angela Lauer Chong, Dean of Students).  Steering has asked the CSCC to determine, through consultation, whether TCNJ should become a tobacco-free campus, but the CSCC requested that more (and more representative and more specific) data – both quantitative and qualitative – be gathered first to gauge campus support for going smoke- or tobacco-free.</w:t>
      </w:r>
    </w:p>
    <w:p w:rsidR="00E75516" w:rsidRDefault="00E75516">
      <w:r>
        <w:br w:type="page"/>
      </w:r>
    </w:p>
    <w:p w:rsidR="00E75516" w:rsidRDefault="00E75516" w:rsidP="00E75516">
      <w:pPr>
        <w:rPr>
          <w:b/>
          <w:sz w:val="28"/>
          <w:szCs w:val="28"/>
        </w:rPr>
      </w:pPr>
      <w:r w:rsidRPr="00E75516">
        <w:rPr>
          <w:b/>
          <w:sz w:val="28"/>
          <w:szCs w:val="28"/>
        </w:rPr>
        <w:lastRenderedPageBreak/>
        <w:t>Attachment 2</w:t>
      </w:r>
    </w:p>
    <w:p w:rsidR="00E75516" w:rsidRPr="00E75516" w:rsidRDefault="00E75516" w:rsidP="00E75516">
      <w:pPr>
        <w:rPr>
          <w:b/>
          <w:sz w:val="28"/>
          <w:szCs w:val="28"/>
        </w:rPr>
      </w:pPr>
    </w:p>
    <w:p w:rsidR="00E75516" w:rsidRDefault="00E75516" w:rsidP="00E75516">
      <w:r w:rsidRPr="00E75516">
        <w:rPr>
          <w:b/>
        </w:rPr>
        <w:t>Board of Trustees Report, Spring 2017</w:t>
      </w:r>
      <w:r>
        <w:br/>
        <w:t>Faculty Representatives</w:t>
      </w:r>
      <w:r>
        <w:br/>
        <w:t xml:space="preserve">Jana Gevertz, </w:t>
      </w:r>
      <w:hyperlink r:id="rId8" w:history="1">
        <w:r w:rsidRPr="005C0911">
          <w:rPr>
            <w:rStyle w:val="Hyperlink"/>
          </w:rPr>
          <w:t>gevertz@tcnj.edu</w:t>
        </w:r>
      </w:hyperlink>
      <w:r>
        <w:t xml:space="preserve"> </w:t>
      </w:r>
      <w:r>
        <w:br/>
      </w:r>
    </w:p>
    <w:p w:rsidR="00E75516" w:rsidRDefault="00E75516" w:rsidP="00E75516">
      <w:r>
        <w:t>The TCNJ Board of Trustees met off-grid on Wednesday February 15, 2017, following a pre-meeting teleconference on January 31</w:t>
      </w:r>
      <w:r w:rsidRPr="00134190">
        <w:rPr>
          <w:vertAlign w:val="superscript"/>
        </w:rPr>
        <w:t>st</w:t>
      </w:r>
      <w:r>
        <w:t xml:space="preserve">. At the public meeting, a resolution was passed and a moment of silence was observed in remembrance of Dr. Mort Winston, who had served as faculty representative to the Board of Trustees since August 2015. </w:t>
      </w:r>
    </w:p>
    <w:p w:rsidR="00E75516" w:rsidRDefault="00E75516" w:rsidP="00E75516">
      <w:r>
        <w:t xml:space="preserve">The public meeting also included a report from President Gitenstein, in which she highlighted certain academic programs, faculty and other successes across campus. The President also expressed frustration about the lack of a faculty contract, noting that TCNJ always budgets for a contract raise. After congratulatory remarks from the Board about the successful Capital Campaign, the Board offered the President a new challenge: raising an additional $5 million (for a total of $45 million) by June. The Executive Committee put forth a proposal to increase the President’s compensation by 3%, with a one-time bonus of 5%, and this was unanimously agreed to by the Board. The Governance Committee discussed the formation of a new orientation procedure for Trustees to give them more context to do their job well, and hopefully to help them find their job fulfilling. Finally, at the public meeting, the Board voted on faculty and staff actions, and discussed the convening of a committee to appoint new Board members. </w:t>
      </w:r>
    </w:p>
    <w:p w:rsidR="00E75516" w:rsidRDefault="00E75516" w:rsidP="00E75516">
      <w:r>
        <w:t xml:space="preserve">The Mission Fulfillment Committee engaged with Cabinet members on a number of topics, including an update on admissions for the class of 2021, important hires, and new programs being created at the College. Provost Jackie Taylor led the committee through detailed discussions about the Grants and Sponsored Research Enterprise and Risk Management “deep dive”, and the allocation of resources for </w:t>
      </w:r>
      <w:r w:rsidRPr="001960A9">
        <w:t>strategic initiatives re</w:t>
      </w:r>
      <w:r>
        <w:t xml:space="preserve">lated to our new strategic plan, </w:t>
      </w:r>
      <w:r w:rsidRPr="001960A9">
        <w:t>TCNJ 2021</w:t>
      </w:r>
      <w:r>
        <w:t xml:space="preserve">: </w:t>
      </w:r>
      <w:r w:rsidRPr="001960A9">
        <w:t xml:space="preserve">Bolder, Better, Brighter. </w:t>
      </w:r>
      <w:r>
        <w:t xml:space="preserve">Vice President Lisa Angeloni led the committee through a discussion of the changing demographics of the TCNJ student body, and the different initiatives undertaken at TCNJ to successfully navigate the complexities of recruiting students given the decline of college-aged students in the northeast. </w:t>
      </w:r>
    </w:p>
    <w:p w:rsidR="00E75516" w:rsidRDefault="00E75516" w:rsidP="00E75516">
      <w:r>
        <w:t xml:space="preserve">The Buildings and Infrastructure Committee is now proposing that the Travers / Wolfe residence halls (TW) will be renovated instead of rebuilt, as originally proposed. It was found that the cost of building new was $47 million more than originally thought, and therefore renovating is now the more cost-effective option, even with the temporary loss of a number of beds. This will be voted upon in the July meeting. Vice President Curt Heuring led the committee through detailed discussions about the Deferred Renewal Enterprise Risk Management deep dive. Along with VP Heuring, Vice President Sharon Blanton led the committee through what actions were currently happening, and which projects were in the pipeline with regards to Priorities IV and V of the strategic plan. The committee also had a discussion on higher education business models.  </w:t>
      </w:r>
    </w:p>
    <w:p w:rsidR="00E75516" w:rsidRDefault="00E75516" w:rsidP="00E75516"/>
    <w:p w:rsidR="00E75516" w:rsidRDefault="00E75516" w:rsidP="00E75516"/>
    <w:p w:rsidR="00E75516" w:rsidRDefault="00E75516" w:rsidP="00E75516"/>
    <w:p w:rsidR="000A127A" w:rsidRDefault="000A127A" w:rsidP="00FD115D">
      <w:pPr>
        <w:rPr>
          <w:rFonts w:asciiTheme="minorHAnsi" w:hAnsiTheme="minorHAnsi" w:cstheme="minorHAnsi"/>
          <w:sz w:val="22"/>
          <w:szCs w:val="22"/>
        </w:rPr>
      </w:pPr>
    </w:p>
    <w:sectPr w:rsidR="000A127A"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71" w:rsidRDefault="00A95071" w:rsidP="00156D90">
      <w:r>
        <w:separator/>
      </w:r>
    </w:p>
  </w:endnote>
  <w:endnote w:type="continuationSeparator" w:id="0">
    <w:p w:rsidR="00A95071" w:rsidRDefault="00A95071"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71" w:rsidRDefault="00A95071" w:rsidP="00156D90">
      <w:r>
        <w:separator/>
      </w:r>
    </w:p>
  </w:footnote>
  <w:footnote w:type="continuationSeparator" w:id="0">
    <w:p w:rsidR="00A95071" w:rsidRDefault="00A95071" w:rsidP="00156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94C"/>
    <w:multiLevelType w:val="hybridMultilevel"/>
    <w:tmpl w:val="C89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16"/>
  </w:num>
  <w:num w:numId="5">
    <w:abstractNumId w:val="19"/>
  </w:num>
  <w:num w:numId="6">
    <w:abstractNumId w:val="10"/>
  </w:num>
  <w:num w:numId="7">
    <w:abstractNumId w:val="15"/>
  </w:num>
  <w:num w:numId="8">
    <w:abstractNumId w:val="12"/>
  </w:num>
  <w:num w:numId="9">
    <w:abstractNumId w:val="4"/>
  </w:num>
  <w:num w:numId="10">
    <w:abstractNumId w:val="18"/>
  </w:num>
  <w:num w:numId="11">
    <w:abstractNumId w:val="11"/>
  </w:num>
  <w:num w:numId="12">
    <w:abstractNumId w:val="14"/>
  </w:num>
  <w:num w:numId="13">
    <w:abstractNumId w:val="3"/>
  </w:num>
  <w:num w:numId="14">
    <w:abstractNumId w:val="6"/>
  </w:num>
  <w:num w:numId="15">
    <w:abstractNumId w:val="23"/>
  </w:num>
  <w:num w:numId="16">
    <w:abstractNumId w:val="1"/>
  </w:num>
  <w:num w:numId="17">
    <w:abstractNumId w:val="5"/>
  </w:num>
  <w:num w:numId="18">
    <w:abstractNumId w:val="22"/>
  </w:num>
  <w:num w:numId="19">
    <w:abstractNumId w:val="2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2"/>
  </w:num>
  <w:num w:numId="24">
    <w:abstractNumId w:val="24"/>
  </w:num>
  <w:num w:numId="25">
    <w:abstractNumId w:val="26"/>
  </w:num>
  <w:num w:numId="26">
    <w:abstractNumId w:val="9"/>
  </w:num>
  <w:num w:numId="27">
    <w:abstractNumId w:val="7"/>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74AA"/>
    <w:rsid w:val="00010C1A"/>
    <w:rsid w:val="00012B40"/>
    <w:rsid w:val="00024C04"/>
    <w:rsid w:val="00025FDD"/>
    <w:rsid w:val="00026284"/>
    <w:rsid w:val="00027E90"/>
    <w:rsid w:val="000313C9"/>
    <w:rsid w:val="00031C51"/>
    <w:rsid w:val="00042591"/>
    <w:rsid w:val="000454BD"/>
    <w:rsid w:val="00047554"/>
    <w:rsid w:val="0005488A"/>
    <w:rsid w:val="00056A4E"/>
    <w:rsid w:val="00056D9F"/>
    <w:rsid w:val="0006022C"/>
    <w:rsid w:val="00076310"/>
    <w:rsid w:val="0007663C"/>
    <w:rsid w:val="00077B8D"/>
    <w:rsid w:val="00080F10"/>
    <w:rsid w:val="00083D11"/>
    <w:rsid w:val="00083E49"/>
    <w:rsid w:val="0008754C"/>
    <w:rsid w:val="000877D8"/>
    <w:rsid w:val="00093207"/>
    <w:rsid w:val="00094520"/>
    <w:rsid w:val="000A127A"/>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09C0"/>
    <w:rsid w:val="00221BE3"/>
    <w:rsid w:val="002234EF"/>
    <w:rsid w:val="002246F5"/>
    <w:rsid w:val="00224880"/>
    <w:rsid w:val="0022631E"/>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A46F1"/>
    <w:rsid w:val="002B2064"/>
    <w:rsid w:val="002B2EC1"/>
    <w:rsid w:val="002C46ED"/>
    <w:rsid w:val="002C51EE"/>
    <w:rsid w:val="002E144B"/>
    <w:rsid w:val="002E1B9A"/>
    <w:rsid w:val="002E224E"/>
    <w:rsid w:val="002E3DED"/>
    <w:rsid w:val="002E7A0E"/>
    <w:rsid w:val="002E7D29"/>
    <w:rsid w:val="002F7461"/>
    <w:rsid w:val="003011FC"/>
    <w:rsid w:val="00301A7C"/>
    <w:rsid w:val="00306859"/>
    <w:rsid w:val="00312C62"/>
    <w:rsid w:val="00314C8D"/>
    <w:rsid w:val="00316021"/>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825BC"/>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C4EE2"/>
    <w:rsid w:val="003D020F"/>
    <w:rsid w:val="003D110F"/>
    <w:rsid w:val="003D45EE"/>
    <w:rsid w:val="003E2E34"/>
    <w:rsid w:val="003E37D7"/>
    <w:rsid w:val="003E387B"/>
    <w:rsid w:val="003F5F86"/>
    <w:rsid w:val="00403096"/>
    <w:rsid w:val="00403560"/>
    <w:rsid w:val="00420B2C"/>
    <w:rsid w:val="00423D51"/>
    <w:rsid w:val="00425AD2"/>
    <w:rsid w:val="00426FFE"/>
    <w:rsid w:val="00435298"/>
    <w:rsid w:val="00440871"/>
    <w:rsid w:val="004417CD"/>
    <w:rsid w:val="00444BB2"/>
    <w:rsid w:val="00450DA5"/>
    <w:rsid w:val="0045121A"/>
    <w:rsid w:val="004539C7"/>
    <w:rsid w:val="00455B01"/>
    <w:rsid w:val="004571D3"/>
    <w:rsid w:val="00460A2F"/>
    <w:rsid w:val="004616D9"/>
    <w:rsid w:val="00465C88"/>
    <w:rsid w:val="004677B6"/>
    <w:rsid w:val="0046789E"/>
    <w:rsid w:val="00476ED3"/>
    <w:rsid w:val="00480072"/>
    <w:rsid w:val="004823BA"/>
    <w:rsid w:val="00482D67"/>
    <w:rsid w:val="004833CC"/>
    <w:rsid w:val="004875BD"/>
    <w:rsid w:val="00492BE0"/>
    <w:rsid w:val="00494680"/>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D77AC"/>
    <w:rsid w:val="004E2D7D"/>
    <w:rsid w:val="004E2E90"/>
    <w:rsid w:val="004E3855"/>
    <w:rsid w:val="004E76E7"/>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A5182"/>
    <w:rsid w:val="005C2FC3"/>
    <w:rsid w:val="005C6A88"/>
    <w:rsid w:val="005C7BEA"/>
    <w:rsid w:val="005D1A3C"/>
    <w:rsid w:val="005D2003"/>
    <w:rsid w:val="005D396B"/>
    <w:rsid w:val="005E003C"/>
    <w:rsid w:val="005F5417"/>
    <w:rsid w:val="005F7423"/>
    <w:rsid w:val="00603FA5"/>
    <w:rsid w:val="00606D29"/>
    <w:rsid w:val="006075C5"/>
    <w:rsid w:val="00610D8D"/>
    <w:rsid w:val="00611F90"/>
    <w:rsid w:val="00612800"/>
    <w:rsid w:val="0061749B"/>
    <w:rsid w:val="006227FC"/>
    <w:rsid w:val="006240BA"/>
    <w:rsid w:val="0062517F"/>
    <w:rsid w:val="00627229"/>
    <w:rsid w:val="00632E98"/>
    <w:rsid w:val="006333A6"/>
    <w:rsid w:val="00633DB7"/>
    <w:rsid w:val="00636494"/>
    <w:rsid w:val="006365E0"/>
    <w:rsid w:val="0063790A"/>
    <w:rsid w:val="0064523F"/>
    <w:rsid w:val="006457E5"/>
    <w:rsid w:val="0065057A"/>
    <w:rsid w:val="00651101"/>
    <w:rsid w:val="00651DBD"/>
    <w:rsid w:val="00654BBE"/>
    <w:rsid w:val="00657B92"/>
    <w:rsid w:val="0066252A"/>
    <w:rsid w:val="00666EB1"/>
    <w:rsid w:val="00667055"/>
    <w:rsid w:val="00667F7D"/>
    <w:rsid w:val="00670CB5"/>
    <w:rsid w:val="0067596F"/>
    <w:rsid w:val="006808B7"/>
    <w:rsid w:val="00683CAC"/>
    <w:rsid w:val="00683D6A"/>
    <w:rsid w:val="00686926"/>
    <w:rsid w:val="00692D14"/>
    <w:rsid w:val="00693305"/>
    <w:rsid w:val="00694989"/>
    <w:rsid w:val="00697E3E"/>
    <w:rsid w:val="00697FE9"/>
    <w:rsid w:val="006A288A"/>
    <w:rsid w:val="006A2F81"/>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378EC"/>
    <w:rsid w:val="0084450A"/>
    <w:rsid w:val="0084580E"/>
    <w:rsid w:val="00846898"/>
    <w:rsid w:val="0085188A"/>
    <w:rsid w:val="00860AC9"/>
    <w:rsid w:val="0086199C"/>
    <w:rsid w:val="0086331A"/>
    <w:rsid w:val="00872C51"/>
    <w:rsid w:val="00873A63"/>
    <w:rsid w:val="00874CC5"/>
    <w:rsid w:val="008758A6"/>
    <w:rsid w:val="00877E03"/>
    <w:rsid w:val="0088276E"/>
    <w:rsid w:val="0088309D"/>
    <w:rsid w:val="00890223"/>
    <w:rsid w:val="00890298"/>
    <w:rsid w:val="0089074A"/>
    <w:rsid w:val="008919B0"/>
    <w:rsid w:val="008944E0"/>
    <w:rsid w:val="00894C92"/>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6AD7"/>
    <w:rsid w:val="008C74AA"/>
    <w:rsid w:val="008C7C40"/>
    <w:rsid w:val="008D1523"/>
    <w:rsid w:val="008D4EAD"/>
    <w:rsid w:val="008D5D38"/>
    <w:rsid w:val="008E141E"/>
    <w:rsid w:val="008E1770"/>
    <w:rsid w:val="008F1CBD"/>
    <w:rsid w:val="00900081"/>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158D"/>
    <w:rsid w:val="00AA33A8"/>
    <w:rsid w:val="00AA4D4E"/>
    <w:rsid w:val="00AA55CB"/>
    <w:rsid w:val="00AB163C"/>
    <w:rsid w:val="00AB3008"/>
    <w:rsid w:val="00AB340D"/>
    <w:rsid w:val="00AB648B"/>
    <w:rsid w:val="00AB69ED"/>
    <w:rsid w:val="00AC1F1E"/>
    <w:rsid w:val="00AC2CE6"/>
    <w:rsid w:val="00AC47CE"/>
    <w:rsid w:val="00AD16BD"/>
    <w:rsid w:val="00AD3C39"/>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56E66"/>
    <w:rsid w:val="00B61EAB"/>
    <w:rsid w:val="00B63C3C"/>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17471"/>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420"/>
    <w:rsid w:val="00C70B90"/>
    <w:rsid w:val="00C71137"/>
    <w:rsid w:val="00C72862"/>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A6CC6"/>
    <w:rsid w:val="00DB1732"/>
    <w:rsid w:val="00DB1757"/>
    <w:rsid w:val="00DC1574"/>
    <w:rsid w:val="00DC4E99"/>
    <w:rsid w:val="00DC5F97"/>
    <w:rsid w:val="00DD1B20"/>
    <w:rsid w:val="00DD4162"/>
    <w:rsid w:val="00DE511C"/>
    <w:rsid w:val="00DE68D6"/>
    <w:rsid w:val="00DF1124"/>
    <w:rsid w:val="00DF2103"/>
    <w:rsid w:val="00DF21E4"/>
    <w:rsid w:val="00DF59C3"/>
    <w:rsid w:val="00DF7AAC"/>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3C55"/>
    <w:rsid w:val="00E6455D"/>
    <w:rsid w:val="00E649B5"/>
    <w:rsid w:val="00E672C1"/>
    <w:rsid w:val="00E677C3"/>
    <w:rsid w:val="00E75516"/>
    <w:rsid w:val="00E82BEF"/>
    <w:rsid w:val="00E840C7"/>
    <w:rsid w:val="00E8595D"/>
    <w:rsid w:val="00E85AA9"/>
    <w:rsid w:val="00E91956"/>
    <w:rsid w:val="00E936F2"/>
    <w:rsid w:val="00E96E88"/>
    <w:rsid w:val="00E97873"/>
    <w:rsid w:val="00EA24A8"/>
    <w:rsid w:val="00EA4141"/>
    <w:rsid w:val="00EB00ED"/>
    <w:rsid w:val="00EB3DDB"/>
    <w:rsid w:val="00EB436B"/>
    <w:rsid w:val="00EC109E"/>
    <w:rsid w:val="00EC2839"/>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5814"/>
  <w15:docId w15:val="{B1A502E3-8E45-4073-BFFF-47D0EDD5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tz@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4D8B-7D11-4E39-A29B-5916D63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17</cp:revision>
  <cp:lastPrinted>2015-05-11T12:28:00Z</cp:lastPrinted>
  <dcterms:created xsi:type="dcterms:W3CDTF">2016-11-14T14:22:00Z</dcterms:created>
  <dcterms:modified xsi:type="dcterms:W3CDTF">2017-05-01T18:00:00Z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