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8F" w:rsidRDefault="009F4F8F" w:rsidP="00CA43E9">
      <w:pPr>
        <w:spacing w:after="0" w:line="240" w:lineRule="auto"/>
      </w:pPr>
    </w:p>
    <w:p w:rsidR="009F4F8F" w:rsidRPr="009F4F8F" w:rsidRDefault="00AF3FA8" w:rsidP="009F4F8F">
      <w:pPr>
        <w:pStyle w:val="Default"/>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342.75pt;margin-top:85.55pt;width:134.1pt;height:85.5pt;z-index:251658240" stroked="f">
            <v:textbox>
              <w:txbxContent>
                <w:p w:rsidR="009F4F8F" w:rsidRPr="009F4F8F" w:rsidRDefault="009F4F8F" w:rsidP="005957DF">
                  <w:pPr>
                    <w:pStyle w:val="Default"/>
                    <w:rPr>
                      <w:sz w:val="20"/>
                      <w:szCs w:val="20"/>
                    </w:rPr>
                  </w:pPr>
                  <w:r w:rsidRPr="009F4F8F">
                    <w:rPr>
                      <w:sz w:val="20"/>
                      <w:szCs w:val="20"/>
                    </w:rPr>
                    <w:t xml:space="preserve">The College of New Jersey </w:t>
                  </w:r>
                </w:p>
                <w:p w:rsidR="009F4F8F" w:rsidRPr="009F4F8F" w:rsidRDefault="009F4F8F" w:rsidP="005957DF">
                  <w:pPr>
                    <w:pStyle w:val="Default"/>
                    <w:rPr>
                      <w:sz w:val="20"/>
                      <w:szCs w:val="20"/>
                    </w:rPr>
                  </w:pPr>
                  <w:r w:rsidRPr="009F4F8F">
                    <w:rPr>
                      <w:sz w:val="20"/>
                      <w:szCs w:val="20"/>
                    </w:rPr>
                    <w:t xml:space="preserve">2000 Pennington Road </w:t>
                  </w:r>
                </w:p>
                <w:p w:rsidR="009F4F8F" w:rsidRPr="009F4F8F" w:rsidRDefault="009F4F8F" w:rsidP="005957DF">
                  <w:pPr>
                    <w:pStyle w:val="Default"/>
                    <w:rPr>
                      <w:sz w:val="20"/>
                      <w:szCs w:val="20"/>
                    </w:rPr>
                  </w:pPr>
                  <w:r w:rsidRPr="009F4F8F">
                    <w:rPr>
                      <w:sz w:val="20"/>
                      <w:szCs w:val="20"/>
                    </w:rPr>
                    <w:t xml:space="preserve">Ewing, NJ 08628 </w:t>
                  </w:r>
                </w:p>
                <w:p w:rsidR="009F4F8F" w:rsidRPr="009F4F8F" w:rsidRDefault="009F4F8F" w:rsidP="005957DF">
                  <w:pPr>
                    <w:pStyle w:val="Default"/>
                    <w:rPr>
                      <w:sz w:val="20"/>
                      <w:szCs w:val="20"/>
                    </w:rPr>
                  </w:pPr>
                  <w:r w:rsidRPr="009F4F8F">
                    <w:rPr>
                      <w:sz w:val="20"/>
                      <w:szCs w:val="20"/>
                    </w:rPr>
                    <w:t xml:space="preserve">P) 609.771.2466 </w:t>
                  </w:r>
                </w:p>
                <w:p w:rsidR="009F4F8F" w:rsidRPr="009F4F8F" w:rsidRDefault="009F4F8F" w:rsidP="005957DF">
                  <w:pPr>
                    <w:pStyle w:val="Default"/>
                    <w:rPr>
                      <w:sz w:val="20"/>
                      <w:szCs w:val="20"/>
                    </w:rPr>
                  </w:pPr>
                  <w:r w:rsidRPr="009F4F8F">
                    <w:rPr>
                      <w:sz w:val="20"/>
                      <w:szCs w:val="20"/>
                    </w:rPr>
                    <w:t xml:space="preserve">F) 609.637.5122 </w:t>
                  </w:r>
                </w:p>
                <w:p w:rsidR="009F4F8F" w:rsidRPr="009F4F8F" w:rsidRDefault="009F4F8F" w:rsidP="005957DF">
                  <w:pPr>
                    <w:spacing w:line="240" w:lineRule="auto"/>
                    <w:rPr>
                      <w:rFonts w:ascii="Book Antiqua" w:hAnsi="Book Antiqua"/>
                    </w:rPr>
                  </w:pPr>
                  <w:r w:rsidRPr="009F4F8F">
                    <w:rPr>
                      <w:rFonts w:ascii="Book Antiqua" w:hAnsi="Book Antiqua"/>
                      <w:sz w:val="20"/>
                      <w:szCs w:val="20"/>
                    </w:rPr>
                    <w:t>E) sga@tcnj.edu</w:t>
                  </w:r>
                </w:p>
              </w:txbxContent>
            </v:textbox>
          </v:shape>
        </w:pict>
      </w:r>
      <w:r w:rsidR="009F4F8F">
        <w:rPr>
          <w:noProof/>
        </w:rPr>
        <w:drawing>
          <wp:inline distT="0" distB="0" distL="0" distR="0">
            <wp:extent cx="1990725" cy="124766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90725" cy="1247669"/>
                    </a:xfrm>
                    <a:prstGeom prst="rect">
                      <a:avLst/>
                    </a:prstGeom>
                    <a:noFill/>
                    <a:ln w="9525">
                      <a:noFill/>
                      <a:miter lim="800000"/>
                      <a:headEnd/>
                      <a:tailEnd/>
                    </a:ln>
                  </pic:spPr>
                </pic:pic>
              </a:graphicData>
            </a:graphic>
          </wp:inline>
        </w:drawing>
      </w:r>
    </w:p>
    <w:p w:rsidR="009F4F8F" w:rsidRDefault="009F4F8F" w:rsidP="00CA43E9">
      <w:pPr>
        <w:spacing w:after="0" w:line="240" w:lineRule="auto"/>
      </w:pPr>
    </w:p>
    <w:p w:rsidR="009F4F8F" w:rsidRDefault="009F4F8F" w:rsidP="00CA43E9">
      <w:pPr>
        <w:spacing w:after="0" w:line="240" w:lineRule="auto"/>
      </w:pPr>
    </w:p>
    <w:p w:rsidR="009F4F8F" w:rsidRDefault="009F4F8F" w:rsidP="00CA43E9">
      <w:pPr>
        <w:spacing w:after="0" w:line="240" w:lineRule="auto"/>
      </w:pPr>
    </w:p>
    <w:p w:rsidR="005957DF" w:rsidRDefault="005957DF" w:rsidP="00CA43E9">
      <w:pPr>
        <w:spacing w:after="0" w:line="240" w:lineRule="auto"/>
      </w:pPr>
    </w:p>
    <w:p w:rsidR="00B40B4E" w:rsidRPr="001E7BCE" w:rsidRDefault="00912485" w:rsidP="00CA43E9">
      <w:pPr>
        <w:spacing w:after="0" w:line="240" w:lineRule="auto"/>
        <w:rPr>
          <w:sz w:val="24"/>
          <w:szCs w:val="24"/>
        </w:rPr>
      </w:pPr>
      <w:r w:rsidRPr="001E7BCE">
        <w:rPr>
          <w:sz w:val="24"/>
          <w:szCs w:val="24"/>
        </w:rPr>
        <w:t>December 20</w:t>
      </w:r>
      <w:r w:rsidR="00CA43E9" w:rsidRPr="001E7BCE">
        <w:rPr>
          <w:sz w:val="24"/>
          <w:szCs w:val="24"/>
        </w:rPr>
        <w:t>, 2009</w:t>
      </w:r>
    </w:p>
    <w:p w:rsidR="00CA43E9" w:rsidRPr="001E7BCE" w:rsidRDefault="00CA43E9" w:rsidP="00CA43E9">
      <w:pPr>
        <w:spacing w:after="0" w:line="240" w:lineRule="auto"/>
        <w:rPr>
          <w:sz w:val="24"/>
          <w:szCs w:val="24"/>
        </w:rPr>
      </w:pPr>
    </w:p>
    <w:p w:rsidR="00CA43E9" w:rsidRPr="001E7BCE" w:rsidRDefault="00CA43E9" w:rsidP="00CA43E9">
      <w:pPr>
        <w:spacing w:after="0" w:line="240" w:lineRule="auto"/>
        <w:rPr>
          <w:sz w:val="24"/>
          <w:szCs w:val="24"/>
        </w:rPr>
      </w:pPr>
      <w:r w:rsidRPr="001E7BCE">
        <w:rPr>
          <w:sz w:val="24"/>
          <w:szCs w:val="24"/>
        </w:rPr>
        <w:t>To:</w:t>
      </w:r>
      <w:r w:rsidRPr="001E7BCE">
        <w:rPr>
          <w:sz w:val="24"/>
          <w:szCs w:val="24"/>
        </w:rPr>
        <w:tab/>
        <w:t xml:space="preserve">Dr. </w:t>
      </w:r>
      <w:r w:rsidR="000705F0" w:rsidRPr="001E7BCE">
        <w:rPr>
          <w:sz w:val="24"/>
          <w:szCs w:val="24"/>
        </w:rPr>
        <w:t>Cindy Curtis, TCNJ Faculty Senate</w:t>
      </w:r>
      <w:r w:rsidRPr="001E7BCE">
        <w:rPr>
          <w:sz w:val="24"/>
          <w:szCs w:val="24"/>
        </w:rPr>
        <w:t xml:space="preserve"> President</w:t>
      </w:r>
    </w:p>
    <w:p w:rsidR="00CA43E9" w:rsidRPr="001E7BCE" w:rsidRDefault="00CA43E9" w:rsidP="00CA43E9">
      <w:pPr>
        <w:spacing w:after="0" w:line="240" w:lineRule="auto"/>
        <w:rPr>
          <w:sz w:val="24"/>
          <w:szCs w:val="24"/>
        </w:rPr>
      </w:pPr>
    </w:p>
    <w:p w:rsidR="00CA43E9" w:rsidRPr="001E7BCE" w:rsidRDefault="00CA43E9" w:rsidP="00CA43E9">
      <w:pPr>
        <w:spacing w:after="0" w:line="240" w:lineRule="auto"/>
        <w:rPr>
          <w:sz w:val="24"/>
          <w:szCs w:val="24"/>
        </w:rPr>
      </w:pPr>
      <w:r w:rsidRPr="001E7BCE">
        <w:rPr>
          <w:sz w:val="24"/>
          <w:szCs w:val="24"/>
        </w:rPr>
        <w:t>Cc:</w:t>
      </w:r>
      <w:r w:rsidRPr="001E7BCE">
        <w:rPr>
          <w:sz w:val="24"/>
          <w:szCs w:val="24"/>
        </w:rPr>
        <w:tab/>
        <w:t>Dr. R. Barbara Gitenstein, President</w:t>
      </w:r>
    </w:p>
    <w:p w:rsidR="00CA43E9" w:rsidRPr="001E7BCE" w:rsidRDefault="00CA43E9" w:rsidP="00CA43E9">
      <w:pPr>
        <w:spacing w:after="0" w:line="240" w:lineRule="auto"/>
        <w:rPr>
          <w:sz w:val="24"/>
          <w:szCs w:val="24"/>
        </w:rPr>
      </w:pPr>
      <w:r w:rsidRPr="001E7BCE">
        <w:rPr>
          <w:sz w:val="24"/>
          <w:szCs w:val="24"/>
        </w:rPr>
        <w:tab/>
        <w:t>Dr. Jim Norfleet, Vice President of Student Affairs</w:t>
      </w:r>
    </w:p>
    <w:p w:rsidR="000705F0" w:rsidRPr="001E7BCE" w:rsidRDefault="000705F0" w:rsidP="00CA43E9">
      <w:pPr>
        <w:spacing w:after="0" w:line="240" w:lineRule="auto"/>
        <w:rPr>
          <w:sz w:val="24"/>
          <w:szCs w:val="24"/>
        </w:rPr>
      </w:pPr>
      <w:r w:rsidRPr="001E7BCE">
        <w:rPr>
          <w:sz w:val="24"/>
          <w:szCs w:val="24"/>
        </w:rPr>
        <w:tab/>
        <w:t>Dr. Mort Winston, Chair of the Committee on Planning &amp; Priorities</w:t>
      </w:r>
    </w:p>
    <w:p w:rsidR="000705F0" w:rsidRPr="001E7BCE" w:rsidRDefault="000705F0" w:rsidP="00CA43E9">
      <w:pPr>
        <w:spacing w:after="0" w:line="240" w:lineRule="auto"/>
        <w:rPr>
          <w:sz w:val="24"/>
          <w:szCs w:val="24"/>
        </w:rPr>
      </w:pPr>
      <w:r w:rsidRPr="001E7BCE">
        <w:rPr>
          <w:sz w:val="24"/>
          <w:szCs w:val="24"/>
        </w:rPr>
        <w:tab/>
        <w:t>Dr. Nino Scarpati, TCNJ Staff Senate President</w:t>
      </w:r>
    </w:p>
    <w:p w:rsidR="000705F0" w:rsidRPr="001E7BCE" w:rsidRDefault="00E768A2" w:rsidP="00CA43E9">
      <w:pPr>
        <w:spacing w:after="0" w:line="240" w:lineRule="auto"/>
        <w:rPr>
          <w:sz w:val="24"/>
          <w:szCs w:val="24"/>
        </w:rPr>
      </w:pPr>
      <w:r w:rsidRPr="001E7BCE">
        <w:rPr>
          <w:sz w:val="24"/>
          <w:szCs w:val="24"/>
        </w:rPr>
        <w:tab/>
        <w:t>Ms. Magda Manetas, Assistant</w:t>
      </w:r>
      <w:r w:rsidR="00CA43E9" w:rsidRPr="001E7BCE">
        <w:rPr>
          <w:sz w:val="24"/>
          <w:szCs w:val="24"/>
        </w:rPr>
        <w:t xml:space="preserve"> Vice President for Student Services</w:t>
      </w:r>
      <w:r w:rsidR="007F707E" w:rsidRPr="001E7BCE">
        <w:rPr>
          <w:sz w:val="24"/>
          <w:szCs w:val="24"/>
        </w:rPr>
        <w:t xml:space="preserve"> &amp; SGA Adviser</w:t>
      </w:r>
    </w:p>
    <w:p w:rsidR="00CA43E9" w:rsidRPr="001E7BCE" w:rsidRDefault="005957DF" w:rsidP="00CA43E9">
      <w:pPr>
        <w:spacing w:after="0" w:line="240" w:lineRule="auto"/>
        <w:rPr>
          <w:sz w:val="24"/>
          <w:szCs w:val="24"/>
        </w:rPr>
      </w:pPr>
      <w:r w:rsidRPr="001E7BCE">
        <w:rPr>
          <w:noProof/>
          <w:sz w:val="24"/>
          <w:szCs w:val="24"/>
        </w:rPr>
        <w:drawing>
          <wp:anchor distT="0" distB="0" distL="114300" distR="114300" simplePos="0" relativeHeight="251660288" behindDoc="1" locked="0" layoutInCell="1" allowOverlap="1">
            <wp:simplePos x="0" y="0"/>
            <wp:positionH relativeFrom="column">
              <wp:posOffset>3143250</wp:posOffset>
            </wp:positionH>
            <wp:positionV relativeFrom="paragraph">
              <wp:posOffset>64135</wp:posOffset>
            </wp:positionV>
            <wp:extent cx="1390650" cy="485775"/>
            <wp:effectExtent l="19050" t="0" r="0" b="0"/>
            <wp:wrapNone/>
            <wp:docPr id="12" name="Picture 19" descr="Billy Plastine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ly Plastine sig"/>
                    <pic:cNvPicPr>
                      <a:picLocks noChangeAspect="1" noChangeArrowheads="1"/>
                    </pic:cNvPicPr>
                  </pic:nvPicPr>
                  <pic:blipFill>
                    <a:blip r:embed="rId9" cstate="print"/>
                    <a:srcRect/>
                    <a:stretch>
                      <a:fillRect/>
                    </a:stretch>
                  </pic:blipFill>
                  <pic:spPr bwMode="auto">
                    <a:xfrm>
                      <a:off x="0" y="0"/>
                      <a:ext cx="1390650" cy="485775"/>
                    </a:xfrm>
                    <a:prstGeom prst="rect">
                      <a:avLst/>
                    </a:prstGeom>
                    <a:noFill/>
                    <a:ln w="9525">
                      <a:noFill/>
                      <a:miter lim="800000"/>
                      <a:headEnd/>
                      <a:tailEnd/>
                    </a:ln>
                  </pic:spPr>
                </pic:pic>
              </a:graphicData>
            </a:graphic>
          </wp:anchor>
        </w:drawing>
      </w:r>
    </w:p>
    <w:p w:rsidR="00CA43E9" w:rsidRPr="001E7BCE" w:rsidRDefault="00CA43E9" w:rsidP="00CA43E9">
      <w:pPr>
        <w:spacing w:after="0" w:line="240" w:lineRule="auto"/>
        <w:rPr>
          <w:sz w:val="24"/>
          <w:szCs w:val="24"/>
        </w:rPr>
      </w:pPr>
      <w:r w:rsidRPr="001E7BCE">
        <w:rPr>
          <w:sz w:val="24"/>
          <w:szCs w:val="24"/>
        </w:rPr>
        <w:t>Fr:</w:t>
      </w:r>
      <w:r w:rsidRPr="001E7BCE">
        <w:rPr>
          <w:sz w:val="24"/>
          <w:szCs w:val="24"/>
        </w:rPr>
        <w:tab/>
        <w:t>Billy Plastine, TCNJ SGA Executive President</w:t>
      </w:r>
    </w:p>
    <w:p w:rsidR="00CA43E9" w:rsidRPr="001E7BCE" w:rsidRDefault="00CA43E9" w:rsidP="00CA43E9">
      <w:pPr>
        <w:spacing w:after="0" w:line="240" w:lineRule="auto"/>
        <w:rPr>
          <w:sz w:val="24"/>
          <w:szCs w:val="24"/>
        </w:rPr>
      </w:pPr>
    </w:p>
    <w:p w:rsidR="00CA43E9" w:rsidRPr="001E7BCE" w:rsidRDefault="00CA43E9" w:rsidP="00CA43E9">
      <w:pPr>
        <w:spacing w:after="0" w:line="240" w:lineRule="auto"/>
        <w:rPr>
          <w:sz w:val="24"/>
          <w:szCs w:val="24"/>
        </w:rPr>
      </w:pPr>
      <w:r w:rsidRPr="001E7BCE">
        <w:rPr>
          <w:sz w:val="24"/>
          <w:szCs w:val="24"/>
        </w:rPr>
        <w:t>Re:</w:t>
      </w:r>
      <w:r w:rsidRPr="001E7BCE">
        <w:rPr>
          <w:sz w:val="24"/>
          <w:szCs w:val="24"/>
        </w:rPr>
        <w:tab/>
        <w:t>Big Issues from the TCNJ SGA for the 2010 Middle States Report</w:t>
      </w:r>
    </w:p>
    <w:p w:rsidR="00CA43E9" w:rsidRPr="001E7BCE" w:rsidRDefault="00CA43E9" w:rsidP="00CA43E9">
      <w:pPr>
        <w:pBdr>
          <w:bottom w:val="single" w:sz="12" w:space="1" w:color="auto"/>
        </w:pBdr>
        <w:spacing w:after="0" w:line="240" w:lineRule="auto"/>
        <w:rPr>
          <w:sz w:val="24"/>
          <w:szCs w:val="24"/>
        </w:rPr>
      </w:pPr>
    </w:p>
    <w:p w:rsidR="00CA43E9" w:rsidRPr="001E7BCE" w:rsidRDefault="00CA43E9" w:rsidP="00CA43E9">
      <w:pPr>
        <w:spacing w:after="0" w:line="240" w:lineRule="auto"/>
        <w:rPr>
          <w:sz w:val="24"/>
          <w:szCs w:val="24"/>
        </w:rPr>
      </w:pPr>
    </w:p>
    <w:p w:rsidR="00CA43E9" w:rsidRPr="001E7BCE" w:rsidRDefault="00CA43E9" w:rsidP="00CA43E9">
      <w:pPr>
        <w:spacing w:after="0" w:line="240" w:lineRule="auto"/>
        <w:jc w:val="both"/>
        <w:rPr>
          <w:b/>
          <w:i/>
          <w:sz w:val="24"/>
          <w:szCs w:val="24"/>
        </w:rPr>
      </w:pPr>
      <w:r w:rsidRPr="001E7BCE">
        <w:rPr>
          <w:b/>
          <w:i/>
          <w:sz w:val="24"/>
          <w:szCs w:val="24"/>
        </w:rPr>
        <w:t>Background and Data Collection</w:t>
      </w:r>
    </w:p>
    <w:p w:rsidR="00D54F26" w:rsidRPr="001E7BCE" w:rsidRDefault="00CA43E9" w:rsidP="00CA43E9">
      <w:pPr>
        <w:spacing w:after="0" w:line="240" w:lineRule="auto"/>
        <w:rPr>
          <w:sz w:val="24"/>
          <w:szCs w:val="24"/>
        </w:rPr>
      </w:pPr>
      <w:r w:rsidRPr="001E7BCE">
        <w:rPr>
          <w:sz w:val="24"/>
          <w:szCs w:val="24"/>
        </w:rPr>
        <w:t>Members of the TCNJ Student Government Association (SGA) Executive Board were asked to discuss perceived strengths, weaknesses, opportunities, and threats</w:t>
      </w:r>
      <w:r w:rsidR="00CA2685" w:rsidRPr="001E7BCE">
        <w:rPr>
          <w:sz w:val="24"/>
          <w:szCs w:val="24"/>
        </w:rPr>
        <w:t xml:space="preserve"> (SWOT analysis)</w:t>
      </w:r>
      <w:r w:rsidRPr="001E7BCE">
        <w:rPr>
          <w:sz w:val="24"/>
          <w:szCs w:val="24"/>
        </w:rPr>
        <w:t xml:space="preserve"> for The College of New Jersey as an institution of higher education</w:t>
      </w:r>
      <w:r w:rsidR="007F707E" w:rsidRPr="001E7BCE">
        <w:rPr>
          <w:sz w:val="24"/>
          <w:szCs w:val="24"/>
        </w:rPr>
        <w:t xml:space="preserve"> on October23, 2009</w:t>
      </w:r>
      <w:r w:rsidRPr="001E7BCE">
        <w:rPr>
          <w:sz w:val="24"/>
          <w:szCs w:val="24"/>
        </w:rPr>
        <w:t>.</w:t>
      </w:r>
      <w:r w:rsidR="007F707E" w:rsidRPr="001E7BCE">
        <w:rPr>
          <w:sz w:val="24"/>
          <w:szCs w:val="24"/>
        </w:rPr>
        <w:t xml:space="preserve"> </w:t>
      </w:r>
      <w:r w:rsidR="00D62CEF" w:rsidRPr="001E7BCE">
        <w:rPr>
          <w:sz w:val="24"/>
          <w:szCs w:val="24"/>
        </w:rPr>
        <w:t>A SWOT analysis form was distributed</w:t>
      </w:r>
      <w:r w:rsidR="008B0FA5" w:rsidRPr="001E7BCE">
        <w:rPr>
          <w:sz w:val="24"/>
          <w:szCs w:val="24"/>
        </w:rPr>
        <w:t xml:space="preserve"> to each Executive Board member</w:t>
      </w:r>
      <w:r w:rsidR="00D62CEF" w:rsidRPr="001E7BCE">
        <w:rPr>
          <w:sz w:val="24"/>
          <w:szCs w:val="24"/>
        </w:rPr>
        <w:t xml:space="preserve"> beforehand, and each member of the Executive Board was</w:t>
      </w:r>
      <w:r w:rsidR="000705F0" w:rsidRPr="001E7BCE">
        <w:rPr>
          <w:sz w:val="24"/>
          <w:szCs w:val="24"/>
        </w:rPr>
        <w:t xml:space="preserve"> asked to </w:t>
      </w:r>
      <w:r w:rsidR="00D62CEF" w:rsidRPr="001E7BCE">
        <w:rPr>
          <w:sz w:val="24"/>
          <w:szCs w:val="24"/>
        </w:rPr>
        <w:t>complete it and bring it to the October 23</w:t>
      </w:r>
      <w:r w:rsidR="00D62CEF" w:rsidRPr="001E7BCE">
        <w:rPr>
          <w:sz w:val="24"/>
          <w:szCs w:val="24"/>
          <w:vertAlign w:val="superscript"/>
        </w:rPr>
        <w:t>rd</w:t>
      </w:r>
      <w:r w:rsidR="00D62CEF" w:rsidRPr="001E7BCE">
        <w:rPr>
          <w:sz w:val="24"/>
          <w:szCs w:val="24"/>
        </w:rPr>
        <w:t xml:space="preserve"> meeting. At the meeting, the group first </w:t>
      </w:r>
      <w:r w:rsidR="000705F0" w:rsidRPr="001E7BCE">
        <w:rPr>
          <w:sz w:val="24"/>
          <w:szCs w:val="24"/>
        </w:rPr>
        <w:t>pair</w:t>
      </w:r>
      <w:r w:rsidR="00D62CEF" w:rsidRPr="001E7BCE">
        <w:rPr>
          <w:sz w:val="24"/>
          <w:szCs w:val="24"/>
        </w:rPr>
        <w:t>ed</w:t>
      </w:r>
      <w:r w:rsidR="000705F0" w:rsidRPr="001E7BCE">
        <w:rPr>
          <w:sz w:val="24"/>
          <w:szCs w:val="24"/>
        </w:rPr>
        <w:t xml:space="preserve"> up </w:t>
      </w:r>
      <w:r w:rsidR="00D62CEF" w:rsidRPr="001E7BCE">
        <w:rPr>
          <w:sz w:val="24"/>
          <w:szCs w:val="24"/>
        </w:rPr>
        <w:t xml:space="preserve">to </w:t>
      </w:r>
      <w:r w:rsidR="000705F0" w:rsidRPr="001E7BCE">
        <w:rPr>
          <w:sz w:val="24"/>
          <w:szCs w:val="24"/>
        </w:rPr>
        <w:t>discuss t</w:t>
      </w:r>
      <w:r w:rsidR="00D62CEF" w:rsidRPr="001E7BCE">
        <w:rPr>
          <w:sz w:val="24"/>
          <w:szCs w:val="24"/>
        </w:rPr>
        <w:t xml:space="preserve">heir initial responses. A second </w:t>
      </w:r>
      <w:r w:rsidR="000705F0" w:rsidRPr="001E7BCE">
        <w:rPr>
          <w:sz w:val="24"/>
          <w:szCs w:val="24"/>
        </w:rPr>
        <w:t xml:space="preserve">stage of discussion that involved the whole group helped narrow the focus of the SGA’s initial reaction to the central question: “What are the most pressing issues facing the student body and the institution as a whole that TCNJ should address within the next five years?” </w:t>
      </w:r>
      <w:r w:rsidR="007F707E" w:rsidRPr="001E7BCE">
        <w:rPr>
          <w:sz w:val="24"/>
          <w:szCs w:val="24"/>
        </w:rPr>
        <w:t xml:space="preserve">The Senators and Class Officers within the TCNJ SGA General Assembly were </w:t>
      </w:r>
      <w:r w:rsidR="00D62CEF" w:rsidRPr="001E7BCE">
        <w:rPr>
          <w:sz w:val="24"/>
          <w:szCs w:val="24"/>
        </w:rPr>
        <w:t xml:space="preserve">then </w:t>
      </w:r>
      <w:r w:rsidR="007F707E" w:rsidRPr="001E7BCE">
        <w:rPr>
          <w:sz w:val="24"/>
          <w:szCs w:val="24"/>
        </w:rPr>
        <w:t xml:space="preserve">asked to </w:t>
      </w:r>
      <w:r w:rsidR="00D62CEF" w:rsidRPr="001E7BCE">
        <w:rPr>
          <w:sz w:val="24"/>
          <w:szCs w:val="24"/>
        </w:rPr>
        <w:t>respond to</w:t>
      </w:r>
      <w:r w:rsidR="007F707E" w:rsidRPr="001E7BCE">
        <w:rPr>
          <w:sz w:val="24"/>
          <w:szCs w:val="24"/>
        </w:rPr>
        <w:t xml:space="preserve"> a shorter versio</w:t>
      </w:r>
      <w:r w:rsidR="00D62CEF" w:rsidRPr="001E7BCE">
        <w:rPr>
          <w:sz w:val="24"/>
          <w:szCs w:val="24"/>
        </w:rPr>
        <w:t>n of the SWOT analysis completed</w:t>
      </w:r>
      <w:r w:rsidR="007F707E" w:rsidRPr="001E7BCE">
        <w:rPr>
          <w:sz w:val="24"/>
          <w:szCs w:val="24"/>
        </w:rPr>
        <w:t xml:space="preserve"> by Executive Board members on November 4, 2009. </w:t>
      </w:r>
      <w:r w:rsidR="000705F0" w:rsidRPr="001E7BCE">
        <w:rPr>
          <w:sz w:val="24"/>
          <w:szCs w:val="24"/>
        </w:rPr>
        <w:t>This information helped confirm that</w:t>
      </w:r>
      <w:r w:rsidR="00D62CEF" w:rsidRPr="001E7BCE">
        <w:rPr>
          <w:sz w:val="24"/>
          <w:szCs w:val="24"/>
        </w:rPr>
        <w:t xml:space="preserve"> the b</w:t>
      </w:r>
      <w:r w:rsidR="000705F0" w:rsidRPr="001E7BCE">
        <w:rPr>
          <w:sz w:val="24"/>
          <w:szCs w:val="24"/>
        </w:rPr>
        <w:t>ig issues identifi</w:t>
      </w:r>
      <w:r w:rsidR="00D62CEF" w:rsidRPr="001E7BCE">
        <w:rPr>
          <w:sz w:val="24"/>
          <w:szCs w:val="24"/>
        </w:rPr>
        <w:t>ed by the Executive B</w:t>
      </w:r>
      <w:r w:rsidR="000705F0" w:rsidRPr="001E7BCE">
        <w:rPr>
          <w:sz w:val="24"/>
          <w:szCs w:val="24"/>
        </w:rPr>
        <w:t>oard were as closely representative of the student body’s opinion as possible.</w:t>
      </w:r>
      <w:r w:rsidR="00BC3C94" w:rsidRPr="001E7BCE">
        <w:rPr>
          <w:sz w:val="24"/>
          <w:szCs w:val="24"/>
        </w:rPr>
        <w:t xml:space="preserve"> Overall, a total of 71 responses were collected over this time period.</w:t>
      </w:r>
      <w:r w:rsidR="008B0FA5" w:rsidRPr="001E7BCE">
        <w:rPr>
          <w:sz w:val="24"/>
          <w:szCs w:val="24"/>
        </w:rPr>
        <w:t xml:space="preserve"> </w:t>
      </w:r>
    </w:p>
    <w:p w:rsidR="00D54F26" w:rsidRPr="001E7BCE" w:rsidRDefault="00D54F26" w:rsidP="00CA43E9">
      <w:pPr>
        <w:spacing w:after="0" w:line="240" w:lineRule="auto"/>
        <w:rPr>
          <w:b/>
          <w:i/>
          <w:sz w:val="24"/>
          <w:szCs w:val="24"/>
        </w:rPr>
      </w:pPr>
    </w:p>
    <w:p w:rsidR="001E7BCE" w:rsidRDefault="001E7BCE" w:rsidP="00CA43E9">
      <w:pPr>
        <w:spacing w:after="0" w:line="240" w:lineRule="auto"/>
        <w:rPr>
          <w:b/>
          <w:i/>
          <w:sz w:val="24"/>
          <w:szCs w:val="24"/>
        </w:rPr>
      </w:pPr>
    </w:p>
    <w:p w:rsidR="007F707E" w:rsidRPr="001E7BCE" w:rsidRDefault="007F707E" w:rsidP="00CA43E9">
      <w:pPr>
        <w:spacing w:after="0" w:line="240" w:lineRule="auto"/>
        <w:rPr>
          <w:b/>
          <w:i/>
          <w:sz w:val="24"/>
          <w:szCs w:val="24"/>
        </w:rPr>
      </w:pPr>
      <w:r w:rsidRPr="001E7BCE">
        <w:rPr>
          <w:b/>
          <w:i/>
          <w:sz w:val="24"/>
          <w:szCs w:val="24"/>
        </w:rPr>
        <w:lastRenderedPageBreak/>
        <w:t>Major Themes Reported from SGA Membership</w:t>
      </w:r>
    </w:p>
    <w:p w:rsidR="001E7BCE" w:rsidRDefault="001E7BCE" w:rsidP="00BC3C94">
      <w:pPr>
        <w:spacing w:after="0" w:line="240" w:lineRule="auto"/>
        <w:jc w:val="center"/>
        <w:rPr>
          <w:sz w:val="24"/>
          <w:szCs w:val="24"/>
          <w:u w:val="single"/>
        </w:rPr>
      </w:pPr>
    </w:p>
    <w:p w:rsidR="00CA43E9" w:rsidRPr="001E7BCE" w:rsidRDefault="007F707E" w:rsidP="00BC3C94">
      <w:pPr>
        <w:spacing w:after="0" w:line="240" w:lineRule="auto"/>
        <w:jc w:val="center"/>
        <w:rPr>
          <w:sz w:val="24"/>
          <w:szCs w:val="24"/>
          <w:u w:val="single"/>
        </w:rPr>
      </w:pPr>
      <w:r w:rsidRPr="001E7BCE">
        <w:rPr>
          <w:sz w:val="24"/>
          <w:szCs w:val="24"/>
          <w:u w:val="single"/>
        </w:rPr>
        <w:t>STRENGTHS</w:t>
      </w:r>
    </w:p>
    <w:p w:rsidR="008B0FA5" w:rsidRPr="001E7BCE" w:rsidRDefault="000705F0" w:rsidP="00D54F26">
      <w:pPr>
        <w:pStyle w:val="ListParagraph"/>
        <w:numPr>
          <w:ilvl w:val="0"/>
          <w:numId w:val="1"/>
        </w:numPr>
        <w:spacing w:after="0" w:line="240" w:lineRule="auto"/>
        <w:rPr>
          <w:sz w:val="24"/>
          <w:szCs w:val="24"/>
        </w:rPr>
      </w:pPr>
      <w:r w:rsidRPr="001E7BCE">
        <w:rPr>
          <w:sz w:val="24"/>
          <w:szCs w:val="24"/>
        </w:rPr>
        <w:t xml:space="preserve">The </w:t>
      </w:r>
      <w:r w:rsidR="008B0FA5" w:rsidRPr="001E7BCE">
        <w:rPr>
          <w:sz w:val="24"/>
          <w:szCs w:val="24"/>
        </w:rPr>
        <w:t xml:space="preserve">perception of </w:t>
      </w:r>
      <w:r w:rsidRPr="001E7BCE">
        <w:rPr>
          <w:sz w:val="24"/>
          <w:szCs w:val="24"/>
        </w:rPr>
        <w:t xml:space="preserve">value for money offered by </w:t>
      </w:r>
      <w:r w:rsidR="008B0FA5" w:rsidRPr="001E7BCE">
        <w:rPr>
          <w:sz w:val="24"/>
          <w:szCs w:val="24"/>
        </w:rPr>
        <w:t>TCNJ</w:t>
      </w:r>
    </w:p>
    <w:p w:rsidR="007F707E" w:rsidRPr="001E7BCE" w:rsidRDefault="008B0FA5" w:rsidP="00D54F26">
      <w:pPr>
        <w:pStyle w:val="ListParagraph"/>
        <w:numPr>
          <w:ilvl w:val="0"/>
          <w:numId w:val="1"/>
        </w:numPr>
        <w:spacing w:after="0" w:line="240" w:lineRule="auto"/>
        <w:rPr>
          <w:sz w:val="24"/>
          <w:szCs w:val="24"/>
        </w:rPr>
      </w:pPr>
      <w:r w:rsidRPr="001E7BCE">
        <w:rPr>
          <w:sz w:val="24"/>
          <w:szCs w:val="24"/>
        </w:rPr>
        <w:t>T</w:t>
      </w:r>
      <w:r w:rsidR="000705F0" w:rsidRPr="001E7BCE">
        <w:rPr>
          <w:sz w:val="24"/>
          <w:szCs w:val="24"/>
        </w:rPr>
        <w:t>he college has</w:t>
      </w:r>
      <w:r w:rsidR="00D54F26" w:rsidRPr="001E7BCE">
        <w:rPr>
          <w:sz w:val="24"/>
          <w:szCs w:val="24"/>
        </w:rPr>
        <w:t xml:space="preserve"> been effectively marketing our value </w:t>
      </w:r>
      <w:r w:rsidR="000705F0" w:rsidRPr="001E7BCE">
        <w:rPr>
          <w:sz w:val="24"/>
          <w:szCs w:val="24"/>
        </w:rPr>
        <w:t>to differentiate us from peer institutions</w:t>
      </w:r>
    </w:p>
    <w:p w:rsidR="000705F0" w:rsidRPr="001E7BCE" w:rsidRDefault="000705F0" w:rsidP="00D54F26">
      <w:pPr>
        <w:pStyle w:val="ListParagraph"/>
        <w:numPr>
          <w:ilvl w:val="0"/>
          <w:numId w:val="1"/>
        </w:numPr>
        <w:spacing w:after="0" w:line="240" w:lineRule="auto"/>
        <w:rPr>
          <w:sz w:val="24"/>
          <w:szCs w:val="24"/>
        </w:rPr>
      </w:pPr>
      <w:r w:rsidRPr="001E7BCE">
        <w:rPr>
          <w:sz w:val="24"/>
          <w:szCs w:val="24"/>
        </w:rPr>
        <w:t>There is student representation in most of the importan</w:t>
      </w:r>
      <w:r w:rsidR="008B0FA5" w:rsidRPr="001E7BCE">
        <w:rPr>
          <w:sz w:val="24"/>
          <w:szCs w:val="24"/>
        </w:rPr>
        <w:t>t decisions made by the college</w:t>
      </w:r>
    </w:p>
    <w:p w:rsidR="000705F0" w:rsidRPr="001E7BCE" w:rsidRDefault="000705F0" w:rsidP="00D54F26">
      <w:pPr>
        <w:pStyle w:val="ListParagraph"/>
        <w:numPr>
          <w:ilvl w:val="0"/>
          <w:numId w:val="1"/>
        </w:numPr>
        <w:spacing w:after="0" w:line="240" w:lineRule="auto"/>
        <w:rPr>
          <w:sz w:val="24"/>
          <w:szCs w:val="24"/>
        </w:rPr>
      </w:pPr>
      <w:r w:rsidRPr="001E7BCE">
        <w:rPr>
          <w:sz w:val="24"/>
          <w:szCs w:val="24"/>
        </w:rPr>
        <w:t>There are many volunteer opportunities and classes that focus on civic engagement</w:t>
      </w:r>
    </w:p>
    <w:p w:rsidR="000705F0" w:rsidRPr="001E7BCE" w:rsidRDefault="000705F0" w:rsidP="00D54F26">
      <w:pPr>
        <w:pStyle w:val="ListParagraph"/>
        <w:numPr>
          <w:ilvl w:val="0"/>
          <w:numId w:val="1"/>
        </w:numPr>
        <w:spacing w:after="0" w:line="240" w:lineRule="auto"/>
        <w:rPr>
          <w:sz w:val="24"/>
          <w:szCs w:val="24"/>
        </w:rPr>
      </w:pPr>
      <w:r w:rsidRPr="001E7BCE">
        <w:rPr>
          <w:sz w:val="24"/>
          <w:szCs w:val="24"/>
        </w:rPr>
        <w:t>Smaller class sizes foster communication and research partnerships between students and faculty</w:t>
      </w:r>
    </w:p>
    <w:p w:rsidR="000705F0" w:rsidRPr="001E7BCE" w:rsidRDefault="00D54F26" w:rsidP="00D21C05">
      <w:pPr>
        <w:pStyle w:val="ListParagraph"/>
        <w:numPr>
          <w:ilvl w:val="0"/>
          <w:numId w:val="1"/>
        </w:numPr>
        <w:spacing w:after="0" w:line="240" w:lineRule="auto"/>
        <w:rPr>
          <w:sz w:val="24"/>
          <w:szCs w:val="24"/>
        </w:rPr>
      </w:pPr>
      <w:r w:rsidRPr="001E7BCE">
        <w:rPr>
          <w:sz w:val="24"/>
          <w:szCs w:val="24"/>
        </w:rPr>
        <w:t>There is great depth and breadth amongst TCNJ student organizations</w:t>
      </w:r>
      <w:r w:rsidR="00D21C05" w:rsidRPr="001E7BCE">
        <w:rPr>
          <w:sz w:val="24"/>
          <w:szCs w:val="24"/>
        </w:rPr>
        <w:t>, which allow students to continue to develop leadership skills in a co-curricular environment</w:t>
      </w:r>
    </w:p>
    <w:p w:rsidR="00D21C05" w:rsidRPr="001E7BCE" w:rsidRDefault="00D21C05" w:rsidP="00D21C05">
      <w:pPr>
        <w:pStyle w:val="ListParagraph"/>
        <w:numPr>
          <w:ilvl w:val="0"/>
          <w:numId w:val="1"/>
        </w:numPr>
        <w:spacing w:after="0" w:line="240" w:lineRule="auto"/>
        <w:rPr>
          <w:sz w:val="24"/>
          <w:szCs w:val="24"/>
        </w:rPr>
      </w:pPr>
      <w:r w:rsidRPr="001E7BCE">
        <w:rPr>
          <w:sz w:val="24"/>
          <w:szCs w:val="24"/>
        </w:rPr>
        <w:t xml:space="preserve">The </w:t>
      </w:r>
      <w:r w:rsidR="00D62CEF" w:rsidRPr="001E7BCE">
        <w:rPr>
          <w:sz w:val="24"/>
          <w:szCs w:val="24"/>
        </w:rPr>
        <w:t>research resources provided by the library are conducive to student’s learning and research needs</w:t>
      </w:r>
      <w:r w:rsidR="00B528F2">
        <w:rPr>
          <w:rStyle w:val="FootnoteReference"/>
          <w:sz w:val="24"/>
          <w:szCs w:val="24"/>
        </w:rPr>
        <w:footnoteReference w:id="1"/>
      </w:r>
      <w:r w:rsidR="00D62CEF" w:rsidRPr="001E7BCE">
        <w:rPr>
          <w:sz w:val="24"/>
          <w:szCs w:val="24"/>
        </w:rPr>
        <w:t xml:space="preserve"> </w:t>
      </w:r>
    </w:p>
    <w:p w:rsidR="00D21C05" w:rsidRPr="001E7BCE" w:rsidRDefault="00D21C05" w:rsidP="00D21C05">
      <w:pPr>
        <w:pStyle w:val="ListParagraph"/>
        <w:numPr>
          <w:ilvl w:val="0"/>
          <w:numId w:val="1"/>
        </w:numPr>
        <w:spacing w:after="0" w:line="240" w:lineRule="auto"/>
        <w:rPr>
          <w:sz w:val="24"/>
          <w:szCs w:val="24"/>
        </w:rPr>
      </w:pPr>
      <w:r w:rsidRPr="001E7BCE">
        <w:rPr>
          <w:sz w:val="24"/>
          <w:szCs w:val="24"/>
        </w:rPr>
        <w:t>The Welcome Week program is highly effective in getting students acclimated to campus and eases the transition to independent life</w:t>
      </w:r>
    </w:p>
    <w:p w:rsidR="004530E6" w:rsidRPr="001E7BCE" w:rsidRDefault="004530E6" w:rsidP="00D21C05">
      <w:pPr>
        <w:pStyle w:val="ListParagraph"/>
        <w:numPr>
          <w:ilvl w:val="0"/>
          <w:numId w:val="1"/>
        </w:numPr>
        <w:spacing w:after="0" w:line="240" w:lineRule="auto"/>
        <w:rPr>
          <w:sz w:val="24"/>
          <w:szCs w:val="24"/>
        </w:rPr>
      </w:pPr>
      <w:r w:rsidRPr="001E7BCE">
        <w:rPr>
          <w:sz w:val="24"/>
          <w:szCs w:val="24"/>
        </w:rPr>
        <w:t>Technological support services and programs (most notably PAWS and SOCS) are effective</w:t>
      </w:r>
    </w:p>
    <w:p w:rsidR="00D21C05" w:rsidRPr="001E7BCE" w:rsidRDefault="00D21C05" w:rsidP="00D21C05">
      <w:pPr>
        <w:spacing w:after="0" w:line="240" w:lineRule="auto"/>
        <w:rPr>
          <w:sz w:val="24"/>
          <w:szCs w:val="24"/>
        </w:rPr>
      </w:pPr>
    </w:p>
    <w:p w:rsidR="00D21C05" w:rsidRPr="001E7BCE" w:rsidRDefault="00D21C05" w:rsidP="00BC3C94">
      <w:pPr>
        <w:spacing w:after="0" w:line="240" w:lineRule="auto"/>
        <w:jc w:val="center"/>
        <w:rPr>
          <w:sz w:val="24"/>
          <w:szCs w:val="24"/>
          <w:u w:val="single"/>
        </w:rPr>
      </w:pPr>
      <w:r w:rsidRPr="001E7BCE">
        <w:rPr>
          <w:sz w:val="24"/>
          <w:szCs w:val="24"/>
          <w:u w:val="single"/>
        </w:rPr>
        <w:t>WEAKNESSES</w:t>
      </w:r>
    </w:p>
    <w:p w:rsidR="00D21C05" w:rsidRPr="001E7BCE" w:rsidRDefault="008B0FA5" w:rsidP="00D21C05">
      <w:pPr>
        <w:pStyle w:val="ListParagraph"/>
        <w:numPr>
          <w:ilvl w:val="0"/>
          <w:numId w:val="2"/>
        </w:numPr>
        <w:spacing w:after="0" w:line="240" w:lineRule="auto"/>
        <w:rPr>
          <w:sz w:val="24"/>
          <w:szCs w:val="24"/>
        </w:rPr>
      </w:pPr>
      <w:r w:rsidRPr="001E7BCE">
        <w:rPr>
          <w:sz w:val="24"/>
          <w:szCs w:val="24"/>
        </w:rPr>
        <w:t>Quality of a</w:t>
      </w:r>
      <w:r w:rsidR="00D21C05" w:rsidRPr="001E7BCE">
        <w:rPr>
          <w:sz w:val="24"/>
          <w:szCs w:val="24"/>
        </w:rPr>
        <w:t>cademic advising</w:t>
      </w:r>
      <w:r w:rsidR="00D21C05" w:rsidRPr="001E7BCE">
        <w:rPr>
          <w:rStyle w:val="FootnoteReference"/>
          <w:sz w:val="24"/>
          <w:szCs w:val="24"/>
        </w:rPr>
        <w:footnoteReference w:id="2"/>
      </w:r>
    </w:p>
    <w:p w:rsidR="00D21C05" w:rsidRPr="001E7BCE" w:rsidRDefault="00D21C05" w:rsidP="00D21C05">
      <w:pPr>
        <w:pStyle w:val="ListParagraph"/>
        <w:numPr>
          <w:ilvl w:val="0"/>
          <w:numId w:val="2"/>
        </w:numPr>
        <w:spacing w:after="0" w:line="240" w:lineRule="auto"/>
        <w:rPr>
          <w:sz w:val="24"/>
          <w:szCs w:val="24"/>
        </w:rPr>
      </w:pPr>
      <w:r w:rsidRPr="001E7BCE">
        <w:rPr>
          <w:sz w:val="24"/>
          <w:szCs w:val="24"/>
        </w:rPr>
        <w:t>Lack of national recognition; outside the tri-state area, TCNJ is generally unknown</w:t>
      </w:r>
    </w:p>
    <w:p w:rsidR="00D21C05" w:rsidRPr="001E7BCE" w:rsidRDefault="009F4F8F" w:rsidP="00D21C05">
      <w:pPr>
        <w:pStyle w:val="ListParagraph"/>
        <w:numPr>
          <w:ilvl w:val="0"/>
          <w:numId w:val="2"/>
        </w:numPr>
        <w:spacing w:after="0" w:line="240" w:lineRule="auto"/>
        <w:rPr>
          <w:sz w:val="24"/>
          <w:szCs w:val="24"/>
        </w:rPr>
      </w:pPr>
      <w:r w:rsidRPr="001E7BCE">
        <w:rPr>
          <w:sz w:val="24"/>
          <w:szCs w:val="24"/>
        </w:rPr>
        <w:t>There is a need for more connection between the current student body and TCNJ alumni</w:t>
      </w:r>
    </w:p>
    <w:p w:rsidR="009F4F8F" w:rsidRPr="001E7BCE" w:rsidRDefault="009F4F8F" w:rsidP="00D21C05">
      <w:pPr>
        <w:pStyle w:val="ListParagraph"/>
        <w:numPr>
          <w:ilvl w:val="0"/>
          <w:numId w:val="2"/>
        </w:numPr>
        <w:spacing w:after="0" w:line="240" w:lineRule="auto"/>
        <w:rPr>
          <w:sz w:val="24"/>
          <w:szCs w:val="24"/>
        </w:rPr>
      </w:pPr>
      <w:r w:rsidRPr="001E7BCE">
        <w:rPr>
          <w:sz w:val="24"/>
          <w:szCs w:val="24"/>
        </w:rPr>
        <w:t>Constant struggle for space (large meeting space, on-campus housing, etc.)</w:t>
      </w:r>
    </w:p>
    <w:p w:rsidR="009F4F8F" w:rsidRPr="001E7BCE" w:rsidRDefault="003B7F2F" w:rsidP="00D21C05">
      <w:pPr>
        <w:pStyle w:val="ListParagraph"/>
        <w:numPr>
          <w:ilvl w:val="0"/>
          <w:numId w:val="2"/>
        </w:numPr>
        <w:spacing w:after="0" w:line="240" w:lineRule="auto"/>
        <w:rPr>
          <w:sz w:val="24"/>
          <w:szCs w:val="24"/>
        </w:rPr>
      </w:pPr>
      <w:r>
        <w:rPr>
          <w:sz w:val="24"/>
          <w:szCs w:val="24"/>
        </w:rPr>
        <w:t>Prospective</w:t>
      </w:r>
      <w:r w:rsidR="008B0FA5" w:rsidRPr="001E7BCE">
        <w:rPr>
          <w:sz w:val="24"/>
          <w:szCs w:val="24"/>
        </w:rPr>
        <w:t xml:space="preserve"> students and </w:t>
      </w:r>
      <w:r>
        <w:rPr>
          <w:sz w:val="24"/>
          <w:szCs w:val="24"/>
        </w:rPr>
        <w:t xml:space="preserve">their </w:t>
      </w:r>
      <w:r w:rsidR="008B0FA5" w:rsidRPr="001E7BCE">
        <w:rPr>
          <w:sz w:val="24"/>
          <w:szCs w:val="24"/>
        </w:rPr>
        <w:t>families are not aware</w:t>
      </w:r>
      <w:r w:rsidR="009F4F8F" w:rsidRPr="001E7BCE">
        <w:rPr>
          <w:sz w:val="24"/>
          <w:szCs w:val="24"/>
        </w:rPr>
        <w:t xml:space="preserve"> of the honors program</w:t>
      </w:r>
    </w:p>
    <w:p w:rsidR="009F4F8F" w:rsidRPr="001E7BCE" w:rsidRDefault="008B0FA5" w:rsidP="00D21C05">
      <w:pPr>
        <w:pStyle w:val="ListParagraph"/>
        <w:numPr>
          <w:ilvl w:val="0"/>
          <w:numId w:val="2"/>
        </w:numPr>
        <w:spacing w:after="0" w:line="240" w:lineRule="auto"/>
        <w:rPr>
          <w:sz w:val="24"/>
          <w:szCs w:val="24"/>
        </w:rPr>
      </w:pPr>
      <w:r w:rsidRPr="001E7BCE">
        <w:rPr>
          <w:sz w:val="24"/>
          <w:szCs w:val="24"/>
        </w:rPr>
        <w:t>Fewer and smaller</w:t>
      </w:r>
      <w:r w:rsidR="009F4F8F" w:rsidRPr="001E7BCE">
        <w:rPr>
          <w:sz w:val="24"/>
          <w:szCs w:val="24"/>
        </w:rPr>
        <w:t xml:space="preserve"> scholarships offered to students</w:t>
      </w:r>
      <w:r w:rsidRPr="001E7BCE">
        <w:rPr>
          <w:sz w:val="24"/>
          <w:szCs w:val="24"/>
        </w:rPr>
        <w:t xml:space="preserve"> (including the loss of OSRP)</w:t>
      </w:r>
    </w:p>
    <w:p w:rsidR="009F4F8F" w:rsidRPr="001E7BCE" w:rsidRDefault="008B0FA5" w:rsidP="00D21C05">
      <w:pPr>
        <w:pStyle w:val="ListParagraph"/>
        <w:numPr>
          <w:ilvl w:val="0"/>
          <w:numId w:val="2"/>
        </w:numPr>
        <w:spacing w:after="0" w:line="240" w:lineRule="auto"/>
        <w:rPr>
          <w:sz w:val="24"/>
          <w:szCs w:val="24"/>
        </w:rPr>
      </w:pPr>
      <w:r w:rsidRPr="001E7BCE">
        <w:rPr>
          <w:sz w:val="24"/>
          <w:szCs w:val="24"/>
        </w:rPr>
        <w:t>Lack of g</w:t>
      </w:r>
      <w:r w:rsidR="009F4F8F" w:rsidRPr="001E7BCE">
        <w:rPr>
          <w:sz w:val="24"/>
          <w:szCs w:val="24"/>
        </w:rPr>
        <w:t xml:space="preserve">eographical diversity </w:t>
      </w:r>
      <w:r w:rsidRPr="001E7BCE">
        <w:rPr>
          <w:sz w:val="24"/>
          <w:szCs w:val="24"/>
        </w:rPr>
        <w:t xml:space="preserve">amongst undergraduates </w:t>
      </w:r>
      <w:r w:rsidR="009F4F8F" w:rsidRPr="001E7BCE">
        <w:rPr>
          <w:sz w:val="24"/>
          <w:szCs w:val="24"/>
        </w:rPr>
        <w:t>(overwhelming percentage of students are from NJ)</w:t>
      </w:r>
    </w:p>
    <w:p w:rsidR="00CA2685" w:rsidRPr="001E7BCE" w:rsidRDefault="00CA2685" w:rsidP="00CA2685">
      <w:pPr>
        <w:spacing w:after="0" w:line="240" w:lineRule="auto"/>
        <w:rPr>
          <w:sz w:val="24"/>
          <w:szCs w:val="24"/>
        </w:rPr>
      </w:pPr>
    </w:p>
    <w:p w:rsidR="00CA2685" w:rsidRPr="001E7BCE" w:rsidRDefault="00CA2685" w:rsidP="00BC3C94">
      <w:pPr>
        <w:spacing w:after="0" w:line="240" w:lineRule="auto"/>
        <w:jc w:val="center"/>
        <w:rPr>
          <w:sz w:val="24"/>
          <w:szCs w:val="24"/>
          <w:u w:val="single"/>
        </w:rPr>
      </w:pPr>
      <w:r w:rsidRPr="001E7BCE">
        <w:rPr>
          <w:sz w:val="24"/>
          <w:szCs w:val="24"/>
          <w:u w:val="single"/>
        </w:rPr>
        <w:t>OPPORTUNITIES</w:t>
      </w:r>
    </w:p>
    <w:p w:rsidR="00CA2685" w:rsidRPr="001E7BCE" w:rsidRDefault="00E0368A" w:rsidP="00CA2685">
      <w:pPr>
        <w:pStyle w:val="ListParagraph"/>
        <w:numPr>
          <w:ilvl w:val="0"/>
          <w:numId w:val="3"/>
        </w:numPr>
        <w:spacing w:after="0" w:line="240" w:lineRule="auto"/>
        <w:rPr>
          <w:sz w:val="24"/>
          <w:szCs w:val="24"/>
        </w:rPr>
      </w:pPr>
      <w:r w:rsidRPr="001E7BCE">
        <w:rPr>
          <w:sz w:val="24"/>
          <w:szCs w:val="24"/>
        </w:rPr>
        <w:t>TCNJ</w:t>
      </w:r>
      <w:r w:rsidR="004F4322" w:rsidRPr="001E7BCE">
        <w:rPr>
          <w:sz w:val="24"/>
          <w:szCs w:val="24"/>
        </w:rPr>
        <w:t xml:space="preserve"> could better use </w:t>
      </w:r>
      <w:r w:rsidRPr="001E7BCE">
        <w:rPr>
          <w:sz w:val="24"/>
          <w:szCs w:val="24"/>
        </w:rPr>
        <w:t xml:space="preserve">its </w:t>
      </w:r>
      <w:r w:rsidR="004F4322" w:rsidRPr="001E7BCE">
        <w:rPr>
          <w:sz w:val="24"/>
          <w:szCs w:val="24"/>
        </w:rPr>
        <w:t>p</w:t>
      </w:r>
      <w:r w:rsidR="00CA2685" w:rsidRPr="001E7BCE">
        <w:rPr>
          <w:sz w:val="24"/>
          <w:szCs w:val="24"/>
        </w:rPr>
        <w:t>roximity to Trenton (for lobbying efforts, community-building activities, etc.)</w:t>
      </w:r>
      <w:r w:rsidR="00E768A2" w:rsidRPr="001E7BCE">
        <w:rPr>
          <w:sz w:val="24"/>
          <w:szCs w:val="24"/>
        </w:rPr>
        <w:t xml:space="preserve"> and New York City,</w:t>
      </w:r>
      <w:r w:rsidR="000F5447" w:rsidRPr="001E7BCE">
        <w:rPr>
          <w:sz w:val="24"/>
          <w:szCs w:val="24"/>
        </w:rPr>
        <w:t xml:space="preserve"> Philadelphia</w:t>
      </w:r>
      <w:r w:rsidR="00E768A2" w:rsidRPr="001E7BCE">
        <w:rPr>
          <w:sz w:val="24"/>
          <w:szCs w:val="24"/>
        </w:rPr>
        <w:t>, and the “Route 1 Corridor”</w:t>
      </w:r>
      <w:r w:rsidR="004F4322" w:rsidRPr="001E7BCE">
        <w:rPr>
          <w:sz w:val="24"/>
          <w:szCs w:val="24"/>
        </w:rPr>
        <w:t xml:space="preserve"> </w:t>
      </w:r>
      <w:r w:rsidR="00456F82">
        <w:rPr>
          <w:sz w:val="24"/>
          <w:szCs w:val="24"/>
        </w:rPr>
        <w:t>to increase</w:t>
      </w:r>
      <w:r w:rsidR="000F5447" w:rsidRPr="001E7BCE">
        <w:rPr>
          <w:sz w:val="24"/>
          <w:szCs w:val="24"/>
        </w:rPr>
        <w:t xml:space="preserve"> the number of institutions that recruit from TCNJ, </w:t>
      </w:r>
      <w:r w:rsidR="00456F82">
        <w:rPr>
          <w:sz w:val="24"/>
          <w:szCs w:val="24"/>
        </w:rPr>
        <w:t>offer</w:t>
      </w:r>
      <w:r w:rsidR="004F4322" w:rsidRPr="001E7BCE">
        <w:rPr>
          <w:sz w:val="24"/>
          <w:szCs w:val="24"/>
        </w:rPr>
        <w:t xml:space="preserve"> more </w:t>
      </w:r>
      <w:r w:rsidR="000F5447" w:rsidRPr="001E7BCE">
        <w:rPr>
          <w:sz w:val="24"/>
          <w:szCs w:val="24"/>
        </w:rPr>
        <w:t xml:space="preserve">civic engagement opportunities, </w:t>
      </w:r>
      <w:r w:rsidR="00456F82">
        <w:rPr>
          <w:sz w:val="24"/>
          <w:szCs w:val="24"/>
        </w:rPr>
        <w:t>sponsor</w:t>
      </w:r>
      <w:r w:rsidR="004F4322" w:rsidRPr="001E7BCE">
        <w:rPr>
          <w:sz w:val="24"/>
          <w:szCs w:val="24"/>
        </w:rPr>
        <w:t xml:space="preserve"> more internship opportunities, etc.</w:t>
      </w:r>
    </w:p>
    <w:p w:rsidR="00CA2685" w:rsidRPr="001E7BCE" w:rsidRDefault="00E0368A" w:rsidP="00CA2685">
      <w:pPr>
        <w:pStyle w:val="ListParagraph"/>
        <w:numPr>
          <w:ilvl w:val="0"/>
          <w:numId w:val="3"/>
        </w:numPr>
        <w:spacing w:after="0" w:line="240" w:lineRule="auto"/>
        <w:rPr>
          <w:sz w:val="24"/>
          <w:szCs w:val="24"/>
        </w:rPr>
      </w:pPr>
      <w:r w:rsidRPr="001E7BCE">
        <w:rPr>
          <w:sz w:val="24"/>
          <w:szCs w:val="24"/>
        </w:rPr>
        <w:t>The institution could better market t</w:t>
      </w:r>
      <w:r w:rsidR="00CA2685" w:rsidRPr="001E7BCE">
        <w:rPr>
          <w:sz w:val="24"/>
          <w:szCs w:val="24"/>
        </w:rPr>
        <w:t>he Study Abroad Program at TCNJ</w:t>
      </w:r>
      <w:r w:rsidRPr="001E7BCE">
        <w:rPr>
          <w:sz w:val="24"/>
          <w:szCs w:val="24"/>
        </w:rPr>
        <w:t xml:space="preserve"> </w:t>
      </w:r>
      <w:r w:rsidR="001E7BCE" w:rsidRPr="001E7BCE">
        <w:rPr>
          <w:sz w:val="24"/>
          <w:szCs w:val="24"/>
        </w:rPr>
        <w:t>to boost participation so that students have a feeling of having had the total college experience upon graduation</w:t>
      </w:r>
      <w:r w:rsidR="00456F82">
        <w:rPr>
          <w:sz w:val="24"/>
          <w:szCs w:val="24"/>
        </w:rPr>
        <w:t xml:space="preserve"> and further student appreciation for global issues</w:t>
      </w:r>
    </w:p>
    <w:p w:rsidR="00CA2685" w:rsidRPr="001E7BCE" w:rsidRDefault="001E7BCE" w:rsidP="00CA2685">
      <w:pPr>
        <w:pStyle w:val="ListParagraph"/>
        <w:numPr>
          <w:ilvl w:val="0"/>
          <w:numId w:val="3"/>
        </w:numPr>
        <w:spacing w:after="0" w:line="240" w:lineRule="auto"/>
        <w:rPr>
          <w:sz w:val="24"/>
          <w:szCs w:val="24"/>
        </w:rPr>
      </w:pPr>
      <w:r w:rsidRPr="001E7BCE">
        <w:rPr>
          <w:sz w:val="24"/>
          <w:szCs w:val="24"/>
        </w:rPr>
        <w:t>TCNJ could i</w:t>
      </w:r>
      <w:r w:rsidR="00CA2685" w:rsidRPr="001E7BCE">
        <w:rPr>
          <w:sz w:val="24"/>
          <w:szCs w:val="24"/>
        </w:rPr>
        <w:t xml:space="preserve">ncrease on-campus activity and build an even stronger campus community via the implementation of a Town Center that best meets the needs and interests of the </w:t>
      </w:r>
      <w:r w:rsidR="00CA2685" w:rsidRPr="001E7BCE">
        <w:rPr>
          <w:sz w:val="24"/>
          <w:szCs w:val="24"/>
        </w:rPr>
        <w:lastRenderedPageBreak/>
        <w:t>student body</w:t>
      </w:r>
      <w:r w:rsidR="00456F82">
        <w:rPr>
          <w:sz w:val="24"/>
          <w:szCs w:val="24"/>
        </w:rPr>
        <w:t>; this will strengthen the bonds that exist within our campus community and could help mitigate prospective students’ concern that TCNJ is a “suitcase school”</w:t>
      </w:r>
    </w:p>
    <w:p w:rsidR="00CA2685" w:rsidRPr="001E7BCE" w:rsidRDefault="001E7BCE" w:rsidP="00CA2685">
      <w:pPr>
        <w:pStyle w:val="ListParagraph"/>
        <w:numPr>
          <w:ilvl w:val="0"/>
          <w:numId w:val="3"/>
        </w:numPr>
        <w:spacing w:after="0" w:line="240" w:lineRule="auto"/>
        <w:rPr>
          <w:sz w:val="24"/>
          <w:szCs w:val="24"/>
        </w:rPr>
      </w:pPr>
      <w:r w:rsidRPr="001E7BCE">
        <w:rPr>
          <w:sz w:val="24"/>
          <w:szCs w:val="24"/>
        </w:rPr>
        <w:t xml:space="preserve">Schools and departments should consider establishing </w:t>
      </w:r>
      <w:r w:rsidR="00CA2685" w:rsidRPr="001E7BCE">
        <w:rPr>
          <w:sz w:val="24"/>
          <w:szCs w:val="24"/>
        </w:rPr>
        <w:t>peer mentorship programs for underclassmen</w:t>
      </w:r>
      <w:r w:rsidR="003B7F2F">
        <w:rPr>
          <w:sz w:val="24"/>
          <w:szCs w:val="24"/>
        </w:rPr>
        <w:t>. In these programs, underclassmen could</w:t>
      </w:r>
      <w:r w:rsidR="00CA2685" w:rsidRPr="001E7BCE">
        <w:rPr>
          <w:sz w:val="24"/>
          <w:szCs w:val="24"/>
        </w:rPr>
        <w:t xml:space="preserve"> be paired up with an upperclassmen and share ideas, </w:t>
      </w:r>
      <w:r w:rsidR="003B7F2F">
        <w:rPr>
          <w:sz w:val="24"/>
          <w:szCs w:val="24"/>
        </w:rPr>
        <w:t xml:space="preserve">anticipated career paths, </w:t>
      </w:r>
      <w:r w:rsidR="00CA2685" w:rsidRPr="001E7BCE">
        <w:rPr>
          <w:sz w:val="24"/>
          <w:szCs w:val="24"/>
        </w:rPr>
        <w:t>experiences, and best practices</w:t>
      </w:r>
      <w:r w:rsidRPr="001E7BCE">
        <w:rPr>
          <w:sz w:val="24"/>
          <w:szCs w:val="24"/>
        </w:rPr>
        <w:t xml:space="preserve">; </w:t>
      </w:r>
      <w:r w:rsidR="003473D5">
        <w:rPr>
          <w:sz w:val="24"/>
          <w:szCs w:val="24"/>
        </w:rPr>
        <w:t xml:space="preserve"> students believe this is an “untapped resource” and that the establishment of these programs will enhance the </w:t>
      </w:r>
      <w:r w:rsidR="003B7F2F">
        <w:rPr>
          <w:sz w:val="24"/>
          <w:szCs w:val="24"/>
        </w:rPr>
        <w:t>overall advisement</w:t>
      </w:r>
      <w:r w:rsidR="003473D5">
        <w:rPr>
          <w:sz w:val="24"/>
          <w:szCs w:val="24"/>
        </w:rPr>
        <w:t xml:space="preserve"> experience for students </w:t>
      </w:r>
      <w:r w:rsidRPr="001E7BCE">
        <w:rPr>
          <w:sz w:val="24"/>
          <w:szCs w:val="24"/>
        </w:rPr>
        <w:t xml:space="preserve"> </w:t>
      </w:r>
    </w:p>
    <w:p w:rsidR="00CA2685" w:rsidRPr="001E7BCE" w:rsidRDefault="00456F82" w:rsidP="000F5447">
      <w:pPr>
        <w:pStyle w:val="ListParagraph"/>
        <w:numPr>
          <w:ilvl w:val="0"/>
          <w:numId w:val="3"/>
        </w:numPr>
        <w:spacing w:after="0" w:line="240" w:lineRule="auto"/>
        <w:rPr>
          <w:sz w:val="24"/>
          <w:szCs w:val="24"/>
        </w:rPr>
      </w:pPr>
      <w:r>
        <w:rPr>
          <w:sz w:val="24"/>
          <w:szCs w:val="24"/>
        </w:rPr>
        <w:t>The institution can</w:t>
      </w:r>
      <w:r w:rsidR="003473D5">
        <w:rPr>
          <w:sz w:val="24"/>
          <w:szCs w:val="24"/>
        </w:rPr>
        <w:t xml:space="preserve"> further</w:t>
      </w:r>
      <w:r>
        <w:rPr>
          <w:sz w:val="24"/>
          <w:szCs w:val="24"/>
        </w:rPr>
        <w:t xml:space="preserve"> i</w:t>
      </w:r>
      <w:r w:rsidR="00CA2685" w:rsidRPr="001E7BCE">
        <w:rPr>
          <w:sz w:val="24"/>
          <w:szCs w:val="24"/>
        </w:rPr>
        <w:t>ncrease involvement with corporations that sponsor internships at the college and/or recruit for full time positions (e.g., corporate sponsorship)</w:t>
      </w:r>
    </w:p>
    <w:p w:rsidR="000F5447" w:rsidRPr="001E7BCE" w:rsidRDefault="000F5447" w:rsidP="000F5447">
      <w:pPr>
        <w:spacing w:after="0" w:line="240" w:lineRule="auto"/>
        <w:rPr>
          <w:sz w:val="24"/>
          <w:szCs w:val="24"/>
        </w:rPr>
      </w:pPr>
    </w:p>
    <w:p w:rsidR="000F5447" w:rsidRPr="001E7BCE" w:rsidRDefault="000F5447" w:rsidP="00BC3C94">
      <w:pPr>
        <w:spacing w:after="0" w:line="240" w:lineRule="auto"/>
        <w:jc w:val="center"/>
        <w:rPr>
          <w:sz w:val="24"/>
          <w:szCs w:val="24"/>
          <w:u w:val="single"/>
        </w:rPr>
      </w:pPr>
      <w:r w:rsidRPr="001E7BCE">
        <w:rPr>
          <w:sz w:val="24"/>
          <w:szCs w:val="24"/>
          <w:u w:val="single"/>
        </w:rPr>
        <w:t>THREATS</w:t>
      </w:r>
    </w:p>
    <w:p w:rsidR="000F5447" w:rsidRPr="001E7BCE" w:rsidRDefault="000F5447" w:rsidP="000F5447">
      <w:pPr>
        <w:pStyle w:val="ListParagraph"/>
        <w:numPr>
          <w:ilvl w:val="0"/>
          <w:numId w:val="4"/>
        </w:numPr>
        <w:spacing w:after="0" w:line="240" w:lineRule="auto"/>
        <w:rPr>
          <w:sz w:val="24"/>
          <w:szCs w:val="24"/>
        </w:rPr>
      </w:pPr>
      <w:r w:rsidRPr="001E7BCE">
        <w:rPr>
          <w:sz w:val="24"/>
          <w:szCs w:val="24"/>
        </w:rPr>
        <w:t xml:space="preserve">A </w:t>
      </w:r>
      <w:r w:rsidR="00E768A2" w:rsidRPr="001E7BCE">
        <w:rPr>
          <w:sz w:val="24"/>
          <w:szCs w:val="24"/>
        </w:rPr>
        <w:t>small</w:t>
      </w:r>
      <w:r w:rsidRPr="001E7BCE">
        <w:rPr>
          <w:sz w:val="24"/>
          <w:szCs w:val="24"/>
        </w:rPr>
        <w:t xml:space="preserve"> endowment</w:t>
      </w:r>
      <w:r w:rsidR="004530E6" w:rsidRPr="001E7BCE">
        <w:rPr>
          <w:sz w:val="24"/>
          <w:szCs w:val="24"/>
        </w:rPr>
        <w:t xml:space="preserve">, difficulty of attaining student participation in the Student Giving Campaign, </w:t>
      </w:r>
      <w:r w:rsidRPr="001E7BCE">
        <w:rPr>
          <w:sz w:val="24"/>
          <w:szCs w:val="24"/>
        </w:rPr>
        <w:t xml:space="preserve"> and little direct contact with TCNJ alumni threaten current students’ participation in TCNJ alumni activities in the future</w:t>
      </w:r>
    </w:p>
    <w:p w:rsidR="000F5447" w:rsidRPr="001E7BCE" w:rsidRDefault="000F5447" w:rsidP="000F5447">
      <w:pPr>
        <w:pStyle w:val="ListParagraph"/>
        <w:numPr>
          <w:ilvl w:val="0"/>
          <w:numId w:val="4"/>
        </w:numPr>
        <w:spacing w:after="0" w:line="240" w:lineRule="auto"/>
        <w:rPr>
          <w:sz w:val="24"/>
          <w:szCs w:val="24"/>
        </w:rPr>
      </w:pPr>
      <w:r w:rsidRPr="001E7BCE">
        <w:rPr>
          <w:sz w:val="24"/>
          <w:szCs w:val="24"/>
        </w:rPr>
        <w:t>The difficulty of overcoming the reputation of TCNJ as a “suitcase school”, a reputation that still exists despite significant efforts from various constituent groups to overcome the stereotype</w:t>
      </w:r>
    </w:p>
    <w:p w:rsidR="000F5447" w:rsidRPr="001E7BCE" w:rsidRDefault="000F5447" w:rsidP="000F5447">
      <w:pPr>
        <w:pStyle w:val="ListParagraph"/>
        <w:numPr>
          <w:ilvl w:val="0"/>
          <w:numId w:val="4"/>
        </w:numPr>
        <w:spacing w:after="0" w:line="240" w:lineRule="auto"/>
        <w:rPr>
          <w:sz w:val="24"/>
          <w:szCs w:val="24"/>
        </w:rPr>
      </w:pPr>
      <w:r w:rsidRPr="001E7BCE">
        <w:rPr>
          <w:sz w:val="24"/>
          <w:szCs w:val="24"/>
        </w:rPr>
        <w:t xml:space="preserve">Lack of state government support (budget cuts, little scholarship opportunities) continues to force the college to cut from budget areas that are important to students (e.g., physical enhancement center, </w:t>
      </w:r>
      <w:r w:rsidR="003B7F2F">
        <w:rPr>
          <w:sz w:val="24"/>
          <w:szCs w:val="24"/>
        </w:rPr>
        <w:t xml:space="preserve">hours of operation for the library, renovation of the </w:t>
      </w:r>
      <w:r w:rsidRPr="001E7BCE">
        <w:rPr>
          <w:sz w:val="24"/>
          <w:szCs w:val="24"/>
        </w:rPr>
        <w:t>student center, etc.)</w:t>
      </w:r>
    </w:p>
    <w:p w:rsidR="000F5447" w:rsidRPr="001E7BCE" w:rsidRDefault="000F5447" w:rsidP="00BC3C94">
      <w:pPr>
        <w:pStyle w:val="ListParagraph"/>
        <w:numPr>
          <w:ilvl w:val="0"/>
          <w:numId w:val="4"/>
        </w:numPr>
        <w:spacing w:after="0" w:line="240" w:lineRule="auto"/>
        <w:rPr>
          <w:sz w:val="24"/>
          <w:szCs w:val="24"/>
        </w:rPr>
      </w:pPr>
      <w:r w:rsidRPr="001E7BCE">
        <w:rPr>
          <w:sz w:val="24"/>
          <w:szCs w:val="24"/>
        </w:rPr>
        <w:t xml:space="preserve">The </w:t>
      </w:r>
      <w:r w:rsidR="00E768A2" w:rsidRPr="001E7BCE">
        <w:rPr>
          <w:sz w:val="24"/>
          <w:szCs w:val="24"/>
        </w:rPr>
        <w:t>perceived</w:t>
      </w:r>
      <w:r w:rsidRPr="001E7BCE">
        <w:rPr>
          <w:sz w:val="24"/>
          <w:szCs w:val="24"/>
        </w:rPr>
        <w:t xml:space="preserve"> increase in adjunct professors might reduce the opportunity students currently have to forge beneficial relationships with full-time faculty</w:t>
      </w:r>
      <w:r w:rsidR="00D62CEF" w:rsidRPr="001E7BCE">
        <w:rPr>
          <w:rStyle w:val="FootnoteReference"/>
          <w:sz w:val="24"/>
          <w:szCs w:val="24"/>
        </w:rPr>
        <w:footnoteReference w:id="3"/>
      </w:r>
      <w:r w:rsidR="00E768A2" w:rsidRPr="001E7BCE">
        <w:rPr>
          <w:sz w:val="24"/>
          <w:szCs w:val="24"/>
        </w:rPr>
        <w:t xml:space="preserve"> </w:t>
      </w:r>
    </w:p>
    <w:p w:rsidR="00BC3C94" w:rsidRPr="001E7BCE" w:rsidRDefault="00BC3C94" w:rsidP="00BC3C94">
      <w:pPr>
        <w:spacing w:after="0" w:line="240" w:lineRule="auto"/>
        <w:rPr>
          <w:sz w:val="24"/>
          <w:szCs w:val="24"/>
        </w:rPr>
      </w:pPr>
    </w:p>
    <w:p w:rsidR="00BC3C94" w:rsidRPr="001E7BCE" w:rsidRDefault="00BC3C94" w:rsidP="00BC3C94">
      <w:pPr>
        <w:spacing w:after="0" w:line="240" w:lineRule="auto"/>
        <w:rPr>
          <w:b/>
          <w:i/>
          <w:sz w:val="24"/>
          <w:szCs w:val="24"/>
        </w:rPr>
      </w:pPr>
      <w:r w:rsidRPr="001E7BCE">
        <w:rPr>
          <w:b/>
          <w:i/>
          <w:sz w:val="24"/>
          <w:szCs w:val="24"/>
        </w:rPr>
        <w:t>Conclusion</w:t>
      </w:r>
    </w:p>
    <w:p w:rsidR="00BC3C94" w:rsidRPr="001E7BCE" w:rsidRDefault="00BC3C94" w:rsidP="00BC3C94">
      <w:pPr>
        <w:spacing w:after="0" w:line="240" w:lineRule="auto"/>
        <w:rPr>
          <w:sz w:val="24"/>
          <w:szCs w:val="24"/>
        </w:rPr>
      </w:pPr>
      <w:r w:rsidRPr="001E7BCE">
        <w:rPr>
          <w:sz w:val="24"/>
          <w:szCs w:val="24"/>
        </w:rPr>
        <w:t>The above su</w:t>
      </w:r>
      <w:r w:rsidR="00D62CEF" w:rsidRPr="001E7BCE">
        <w:rPr>
          <w:sz w:val="24"/>
          <w:szCs w:val="24"/>
        </w:rPr>
        <w:t>mmary indicates the big i</w:t>
      </w:r>
      <w:r w:rsidR="00E768A2" w:rsidRPr="001E7BCE">
        <w:rPr>
          <w:sz w:val="24"/>
          <w:szCs w:val="24"/>
        </w:rPr>
        <w:t xml:space="preserve">ssues </w:t>
      </w:r>
      <w:r w:rsidRPr="001E7BCE">
        <w:rPr>
          <w:sz w:val="24"/>
          <w:szCs w:val="24"/>
        </w:rPr>
        <w:t xml:space="preserve">identified by the Student Government Association; all items listed in the previous section were common responses found within the SWOT analyses of SGA members. If you have any questions or would like additional clarification or information, please do not hesitate to contact me via email at sga@tcnj.edu. On behalf of the SGA, I’d like to thank you for including us in this very important process. </w:t>
      </w:r>
    </w:p>
    <w:sectPr w:rsidR="00BC3C94" w:rsidRPr="001E7BCE" w:rsidSect="001E7B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29A" w:rsidRDefault="0099729A" w:rsidP="00D21C05">
      <w:pPr>
        <w:spacing w:after="0" w:line="240" w:lineRule="auto"/>
      </w:pPr>
      <w:r>
        <w:separator/>
      </w:r>
    </w:p>
  </w:endnote>
  <w:endnote w:type="continuationSeparator" w:id="0">
    <w:p w:rsidR="0099729A" w:rsidRDefault="0099729A" w:rsidP="00D21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29A" w:rsidRDefault="0099729A" w:rsidP="00D21C05">
      <w:pPr>
        <w:spacing w:after="0" w:line="240" w:lineRule="auto"/>
      </w:pPr>
      <w:r>
        <w:separator/>
      </w:r>
    </w:p>
  </w:footnote>
  <w:footnote w:type="continuationSeparator" w:id="0">
    <w:p w:rsidR="0099729A" w:rsidRDefault="0099729A" w:rsidP="00D21C05">
      <w:pPr>
        <w:spacing w:after="0" w:line="240" w:lineRule="auto"/>
      </w:pPr>
      <w:r>
        <w:continuationSeparator/>
      </w:r>
    </w:p>
  </w:footnote>
  <w:footnote w:id="1">
    <w:p w:rsidR="00B528F2" w:rsidRDefault="00B528F2">
      <w:pPr>
        <w:pStyle w:val="FootnoteText"/>
      </w:pPr>
      <w:r>
        <w:rPr>
          <w:rStyle w:val="FootnoteReference"/>
        </w:rPr>
        <w:footnoteRef/>
      </w:r>
      <w:r>
        <w:t xml:space="preserve"> </w:t>
      </w:r>
      <w:r>
        <w:rPr>
          <w:szCs w:val="24"/>
        </w:rPr>
        <w:t xml:space="preserve">The </w:t>
      </w:r>
      <w:r w:rsidRPr="00B528F2">
        <w:rPr>
          <w:szCs w:val="24"/>
        </w:rPr>
        <w:t xml:space="preserve">Library section of the TCNJ website and the </w:t>
      </w:r>
      <w:r>
        <w:rPr>
          <w:szCs w:val="24"/>
        </w:rPr>
        <w:t>up-to-date technology in the Library wee identified as specific strengths frequently</w:t>
      </w:r>
    </w:p>
  </w:footnote>
  <w:footnote w:id="2">
    <w:p w:rsidR="00D21C05" w:rsidRDefault="00D21C05">
      <w:pPr>
        <w:pStyle w:val="FootnoteText"/>
      </w:pPr>
      <w:r>
        <w:rPr>
          <w:rStyle w:val="FootnoteReference"/>
        </w:rPr>
        <w:footnoteRef/>
      </w:r>
      <w:r>
        <w:t xml:space="preserve"> Academic advising was overwhelmingly the most significant concern; it was listed as a “weakness” in nearly 75% of the SWOT analyses completed by SGA members.</w:t>
      </w:r>
    </w:p>
  </w:footnote>
  <w:footnote w:id="3">
    <w:p w:rsidR="00D62CEF" w:rsidRDefault="00D62CEF">
      <w:pPr>
        <w:pStyle w:val="FootnoteText"/>
      </w:pPr>
      <w:r>
        <w:rPr>
          <w:rStyle w:val="FootnoteReference"/>
        </w:rPr>
        <w:footnoteRef/>
      </w:r>
      <w:r>
        <w:t xml:space="preserve"> Some adjuncts are held in very high regard, but on the whole, an increase in their use leads to a decrease in</w:t>
      </w:r>
      <w:r w:rsidR="0029314F">
        <w:t xml:space="preserve"> student</w:t>
      </w:r>
      <w:r>
        <w:t xml:space="preserve"> int</w:t>
      </w:r>
      <w:r w:rsidR="0029314F">
        <w:t>eraction with full time faculty. This often leads to reductions in the likelihood of students participating in research, lack of a connection between students and their major department and/or academic school, and little involvement in department and/or school sponsored co-curricular organizations, lectures, events,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E5FAA"/>
    <w:multiLevelType w:val="hybridMultilevel"/>
    <w:tmpl w:val="805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B1F5C"/>
    <w:multiLevelType w:val="hybridMultilevel"/>
    <w:tmpl w:val="642E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22126"/>
    <w:multiLevelType w:val="hybridMultilevel"/>
    <w:tmpl w:val="EDA8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8706D"/>
    <w:multiLevelType w:val="hybridMultilevel"/>
    <w:tmpl w:val="89DE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A43E9"/>
    <w:rsid w:val="000600E0"/>
    <w:rsid w:val="0006385C"/>
    <w:rsid w:val="000705F0"/>
    <w:rsid w:val="000F5447"/>
    <w:rsid w:val="001D1FA5"/>
    <w:rsid w:val="001E7BCE"/>
    <w:rsid w:val="0023494A"/>
    <w:rsid w:val="00291A5D"/>
    <w:rsid w:val="0029314F"/>
    <w:rsid w:val="003473D5"/>
    <w:rsid w:val="003B7F2F"/>
    <w:rsid w:val="00425B40"/>
    <w:rsid w:val="004530E6"/>
    <w:rsid w:val="00456F82"/>
    <w:rsid w:val="004B0FBF"/>
    <w:rsid w:val="004F4322"/>
    <w:rsid w:val="005957DF"/>
    <w:rsid w:val="006B1725"/>
    <w:rsid w:val="006E1656"/>
    <w:rsid w:val="007C76C9"/>
    <w:rsid w:val="007F707E"/>
    <w:rsid w:val="00817640"/>
    <w:rsid w:val="008B0FA5"/>
    <w:rsid w:val="008F6C5A"/>
    <w:rsid w:val="00912485"/>
    <w:rsid w:val="0099729A"/>
    <w:rsid w:val="009F3D02"/>
    <w:rsid w:val="009F4F8F"/>
    <w:rsid w:val="00AF3FA8"/>
    <w:rsid w:val="00B40B4E"/>
    <w:rsid w:val="00B528F2"/>
    <w:rsid w:val="00BC3C94"/>
    <w:rsid w:val="00C63D32"/>
    <w:rsid w:val="00CA2685"/>
    <w:rsid w:val="00CA43E9"/>
    <w:rsid w:val="00CC01BE"/>
    <w:rsid w:val="00D21C05"/>
    <w:rsid w:val="00D54F26"/>
    <w:rsid w:val="00D62CEF"/>
    <w:rsid w:val="00E0368A"/>
    <w:rsid w:val="00E7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07E"/>
    <w:pPr>
      <w:ind w:left="720"/>
      <w:contextualSpacing/>
    </w:pPr>
  </w:style>
  <w:style w:type="paragraph" w:styleId="FootnoteText">
    <w:name w:val="footnote text"/>
    <w:basedOn w:val="Normal"/>
    <w:link w:val="FootnoteTextChar"/>
    <w:uiPriority w:val="99"/>
    <w:semiHidden/>
    <w:unhideWhenUsed/>
    <w:rsid w:val="00D21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C05"/>
    <w:rPr>
      <w:sz w:val="20"/>
      <w:szCs w:val="20"/>
    </w:rPr>
  </w:style>
  <w:style w:type="character" w:styleId="FootnoteReference">
    <w:name w:val="footnote reference"/>
    <w:basedOn w:val="DefaultParagraphFont"/>
    <w:uiPriority w:val="99"/>
    <w:semiHidden/>
    <w:unhideWhenUsed/>
    <w:rsid w:val="00D21C05"/>
    <w:rPr>
      <w:vertAlign w:val="superscript"/>
    </w:rPr>
  </w:style>
  <w:style w:type="paragraph" w:customStyle="1" w:styleId="Default">
    <w:name w:val="Default"/>
    <w:rsid w:val="009F4F8F"/>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F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8F"/>
    <w:rPr>
      <w:rFonts w:ascii="Tahoma" w:hAnsi="Tahoma" w:cs="Tahoma"/>
      <w:sz w:val="16"/>
      <w:szCs w:val="16"/>
    </w:rPr>
  </w:style>
  <w:style w:type="character" w:styleId="Hyperlink">
    <w:name w:val="Hyperlink"/>
    <w:basedOn w:val="DefaultParagraphFont"/>
    <w:uiPriority w:val="99"/>
    <w:unhideWhenUsed/>
    <w:rsid w:val="00BC3C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1F91-E013-48F3-9C3D-AFA667A4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Information Technology</cp:lastModifiedBy>
  <cp:revision>2</cp:revision>
  <cp:lastPrinted>2010-01-19T17:03:00Z</cp:lastPrinted>
  <dcterms:created xsi:type="dcterms:W3CDTF">2010-03-17T14:38:00Z</dcterms:created>
  <dcterms:modified xsi:type="dcterms:W3CDTF">2010-03-17T14:38:00Z</dcterms:modified>
</cp:coreProperties>
</file>